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5" w:type="dxa"/>
        <w:tblInd w:w="107" w:type="dxa"/>
        <w:tblLayout w:type="fixed"/>
        <w:tblLook w:val="0000" w:firstRow="0" w:lastRow="0" w:firstColumn="0" w:lastColumn="0" w:noHBand="0" w:noVBand="0"/>
      </w:tblPr>
      <w:tblGrid>
        <w:gridCol w:w="3295"/>
        <w:gridCol w:w="5920"/>
      </w:tblGrid>
      <w:tr w:rsidR="00C81BEC" w:rsidRPr="00AC7F1B" w14:paraId="652FBC24" w14:textId="77777777" w:rsidTr="009D1738">
        <w:trPr>
          <w:trHeight w:val="567"/>
        </w:trPr>
        <w:tc>
          <w:tcPr>
            <w:tcW w:w="3295" w:type="dxa"/>
          </w:tcPr>
          <w:p w14:paraId="482738F9" w14:textId="77777777" w:rsidR="007B64CC" w:rsidRPr="00AC7F1B" w:rsidRDefault="007B64CC" w:rsidP="009D1738">
            <w:pPr>
              <w:spacing w:after="0" w:line="240" w:lineRule="auto"/>
              <w:jc w:val="center"/>
              <w:rPr>
                <w:b/>
                <w:bCs/>
                <w:sz w:val="26"/>
                <w:szCs w:val="26"/>
              </w:rPr>
            </w:pPr>
            <w:r w:rsidRPr="00AC7F1B">
              <w:rPr>
                <w:b/>
                <w:bCs/>
                <w:sz w:val="26"/>
                <w:szCs w:val="26"/>
              </w:rPr>
              <w:t>ỦY BAN NHÂN DÂN</w:t>
            </w:r>
          </w:p>
          <w:p w14:paraId="503D9FF7" w14:textId="7809AEA4" w:rsidR="007B64CC" w:rsidRPr="00AC7F1B" w:rsidRDefault="009D1738" w:rsidP="009D1738">
            <w:pPr>
              <w:spacing w:after="0" w:line="240" w:lineRule="auto"/>
              <w:jc w:val="center"/>
              <w:rPr>
                <w:b/>
                <w:bCs/>
                <w:sz w:val="26"/>
                <w:szCs w:val="26"/>
              </w:rPr>
            </w:pPr>
            <w:r w:rsidRPr="00AC7F1B">
              <w:rPr>
                <w:noProof/>
                <w:sz w:val="26"/>
                <w:szCs w:val="26"/>
              </w:rPr>
              <mc:AlternateContent>
                <mc:Choice Requires="wps">
                  <w:drawing>
                    <wp:anchor distT="0" distB="0" distL="114300" distR="114300" simplePos="0" relativeHeight="251662336" behindDoc="0" locked="0" layoutInCell="1" allowOverlap="1" wp14:anchorId="2B8C55E0" wp14:editId="615134F5">
                      <wp:simplePos x="0" y="0"/>
                      <wp:positionH relativeFrom="column">
                        <wp:posOffset>494665</wp:posOffset>
                      </wp:positionH>
                      <wp:positionV relativeFrom="paragraph">
                        <wp:posOffset>199285</wp:posOffset>
                      </wp:positionV>
                      <wp:extent cx="981710" cy="0"/>
                      <wp:effectExtent l="0" t="0" r="0" b="0"/>
                      <wp:wrapNone/>
                      <wp:docPr id="475700770" name="Straight Connector 5"/>
                      <wp:cNvGraphicFramePr/>
                      <a:graphic xmlns:a="http://schemas.openxmlformats.org/drawingml/2006/main">
                        <a:graphicData uri="http://schemas.microsoft.com/office/word/2010/wordprocessingShape">
                          <wps:wsp>
                            <wps:cNvCnPr/>
                            <wps:spPr>
                              <a:xfrm>
                                <a:off x="0" y="0"/>
                                <a:ext cx="98171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5C9F5"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8.95pt,15.7pt" to="116.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" strokecolor="black [3213]" strokeweight=".25pt"/>
                  </w:pict>
                </mc:Fallback>
              </mc:AlternateContent>
            </w:r>
            <w:r w:rsidR="007B64CC" w:rsidRPr="00AC7F1B">
              <w:rPr>
                <w:b/>
                <w:bCs/>
                <w:sz w:val="26"/>
                <w:szCs w:val="26"/>
              </w:rPr>
              <w:t>TỈNH QUẢNG NGÃI</w:t>
            </w:r>
          </w:p>
        </w:tc>
        <w:tc>
          <w:tcPr>
            <w:tcW w:w="5920" w:type="dxa"/>
          </w:tcPr>
          <w:p w14:paraId="672E9AA6" w14:textId="0712255E" w:rsidR="007B64CC" w:rsidRPr="00AC7F1B" w:rsidRDefault="007B64CC" w:rsidP="009D1738">
            <w:pPr>
              <w:spacing w:after="0" w:line="240" w:lineRule="auto"/>
              <w:jc w:val="center"/>
              <w:rPr>
                <w:b/>
                <w:bCs/>
                <w:sz w:val="26"/>
                <w:szCs w:val="26"/>
              </w:rPr>
            </w:pPr>
            <w:r w:rsidRPr="00AC7F1B">
              <w:rPr>
                <w:b/>
                <w:bCs/>
                <w:sz w:val="26"/>
                <w:szCs w:val="26"/>
              </w:rPr>
              <w:t>CỘNG HÒA XÃ HỘI CHỦ NGHĨA VIỆT NAM</w:t>
            </w:r>
          </w:p>
          <w:p w14:paraId="01EFBCEF" w14:textId="2E7AE7AC" w:rsidR="007B64CC" w:rsidRPr="00AC7F1B" w:rsidRDefault="007B64CC" w:rsidP="009D1738">
            <w:pPr>
              <w:spacing w:after="0" w:line="240" w:lineRule="auto"/>
              <w:jc w:val="center"/>
              <w:rPr>
                <w:b/>
                <w:bCs/>
              </w:rPr>
            </w:pPr>
            <w:r w:rsidRPr="00AC7F1B">
              <w:rPr>
                <w:b/>
                <w:bCs/>
              </w:rPr>
              <w:t>Độc lập - Tự do - Hạnh phúc</w:t>
            </w:r>
          </w:p>
        </w:tc>
      </w:tr>
      <w:tr w:rsidR="00C81BEC" w:rsidRPr="00AC7F1B" w14:paraId="0291A6F0" w14:textId="77777777" w:rsidTr="00614926">
        <w:tc>
          <w:tcPr>
            <w:tcW w:w="3295" w:type="dxa"/>
          </w:tcPr>
          <w:p w14:paraId="7351AE6F" w14:textId="1D699F1C" w:rsidR="007B64CC" w:rsidRPr="00AC7F1B" w:rsidRDefault="007B64CC" w:rsidP="009D1738">
            <w:pPr>
              <w:spacing w:before="80" w:after="0" w:line="240" w:lineRule="auto"/>
            </w:pPr>
            <w:r w:rsidRPr="00AC7F1B">
              <w:rPr>
                <w:sz w:val="26"/>
                <w:szCs w:val="26"/>
              </w:rPr>
              <w:t xml:space="preserve">       Số:      </w:t>
            </w:r>
            <w:r w:rsidR="00B46FAC" w:rsidRPr="00AC7F1B">
              <w:rPr>
                <w:sz w:val="26"/>
                <w:szCs w:val="26"/>
              </w:rPr>
              <w:t xml:space="preserve">   </w:t>
            </w:r>
            <w:r w:rsidRPr="00AC7F1B">
              <w:rPr>
                <w:sz w:val="26"/>
                <w:szCs w:val="26"/>
              </w:rPr>
              <w:t xml:space="preserve">  /TTr-UBND</w:t>
            </w:r>
          </w:p>
        </w:tc>
        <w:tc>
          <w:tcPr>
            <w:tcW w:w="5920" w:type="dxa"/>
          </w:tcPr>
          <w:p w14:paraId="1F9DC4BF" w14:textId="1A92613F" w:rsidR="007B64CC" w:rsidRPr="00AC7F1B" w:rsidRDefault="009D1738" w:rsidP="009D1738">
            <w:pPr>
              <w:spacing w:before="80" w:after="0" w:line="240" w:lineRule="auto"/>
              <w:jc w:val="center"/>
              <w:rPr>
                <w:i/>
                <w:iCs/>
                <w:szCs w:val="28"/>
              </w:rPr>
            </w:pPr>
            <w:r w:rsidRPr="00AC7F1B">
              <w:rPr>
                <w:b/>
                <w:bCs/>
                <w:noProof/>
                <w:szCs w:val="28"/>
              </w:rPr>
              <mc:AlternateContent>
                <mc:Choice Requires="wps">
                  <w:drawing>
                    <wp:anchor distT="0" distB="0" distL="114300" distR="114300" simplePos="0" relativeHeight="251666432" behindDoc="0" locked="0" layoutInCell="1" allowOverlap="1" wp14:anchorId="1D395ED9" wp14:editId="2F31BB8D">
                      <wp:simplePos x="0" y="0"/>
                      <wp:positionH relativeFrom="column">
                        <wp:posOffset>769620</wp:posOffset>
                      </wp:positionH>
                      <wp:positionV relativeFrom="paragraph">
                        <wp:posOffset>740</wp:posOffset>
                      </wp:positionV>
                      <wp:extent cx="2108835" cy="0"/>
                      <wp:effectExtent l="0" t="0" r="0" b="0"/>
                      <wp:wrapNone/>
                      <wp:docPr id="1447049191" name="Straight Connector 6"/>
                      <wp:cNvGraphicFramePr/>
                      <a:graphic xmlns:a="http://schemas.openxmlformats.org/drawingml/2006/main">
                        <a:graphicData uri="http://schemas.microsoft.com/office/word/2010/wordprocessingShape">
                          <wps:wsp>
                            <wps:cNvCnPr/>
                            <wps:spPr>
                              <a:xfrm>
                                <a:off x="0" y="0"/>
                                <a:ext cx="210883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480349" id="Straight Connector 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0.6pt,.05pt" to="226.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" strokecolor="black [3213]" strokeweight=".25pt"/>
                  </w:pict>
                </mc:Fallback>
              </mc:AlternateContent>
            </w:r>
            <w:r w:rsidR="007B64CC" w:rsidRPr="00AC7F1B">
              <w:rPr>
                <w:i/>
                <w:szCs w:val="28"/>
              </w:rPr>
              <w:t xml:space="preserve">Quảng Ngãi, ngày      tháng </w:t>
            </w:r>
            <w:r w:rsidR="0035162E">
              <w:rPr>
                <w:i/>
                <w:szCs w:val="28"/>
              </w:rPr>
              <w:t xml:space="preserve">  </w:t>
            </w:r>
            <w:r w:rsidR="007B64CC" w:rsidRPr="00AC7F1B">
              <w:rPr>
                <w:i/>
                <w:szCs w:val="28"/>
              </w:rPr>
              <w:t xml:space="preserve"> năm 202</w:t>
            </w:r>
            <w:r w:rsidR="00856EDD" w:rsidRPr="00AC7F1B">
              <w:rPr>
                <w:i/>
                <w:szCs w:val="28"/>
              </w:rPr>
              <w:t>5</w:t>
            </w:r>
          </w:p>
        </w:tc>
      </w:tr>
    </w:tbl>
    <w:p w14:paraId="28BDE69B" w14:textId="5E302DE3" w:rsidR="00E64066" w:rsidRPr="00AC7F1B" w:rsidRDefault="00272469" w:rsidP="007B64CC">
      <w:pPr>
        <w:spacing w:before="120" w:after="0" w:line="240" w:lineRule="auto"/>
        <w:jc w:val="center"/>
        <w:rPr>
          <w:b/>
          <w:bCs/>
          <w:sz w:val="2"/>
          <w:szCs w:val="26"/>
        </w:rPr>
      </w:pPr>
      <w:r w:rsidRPr="00AC7F1B">
        <w:rPr>
          <w:noProof/>
        </w:rPr>
        <mc:AlternateContent>
          <mc:Choice Requires="wps">
            <w:drawing>
              <wp:anchor distT="0" distB="0" distL="114300" distR="114300" simplePos="0" relativeHeight="251656192" behindDoc="0" locked="0" layoutInCell="1" allowOverlap="1" wp14:anchorId="7A76D37D" wp14:editId="7DF79C9F">
                <wp:simplePos x="0" y="0"/>
                <wp:positionH relativeFrom="column">
                  <wp:posOffset>1270</wp:posOffset>
                </wp:positionH>
                <wp:positionV relativeFrom="paragraph">
                  <wp:posOffset>61925</wp:posOffset>
                </wp:positionV>
                <wp:extent cx="1016000" cy="345440"/>
                <wp:effectExtent l="0" t="0" r="12700"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5440"/>
                        </a:xfrm>
                        <a:prstGeom prst="rect">
                          <a:avLst/>
                        </a:prstGeom>
                        <a:solidFill>
                          <a:srgbClr val="FFFFFF"/>
                        </a:solidFill>
                        <a:ln w="9525">
                          <a:solidFill>
                            <a:srgbClr val="000000"/>
                          </a:solidFill>
                          <a:miter lim="800000"/>
                          <a:headEnd/>
                          <a:tailEnd/>
                        </a:ln>
                      </wps:spPr>
                      <wps:txbx>
                        <w:txbxContent>
                          <w:p w14:paraId="05558747" w14:textId="77777777" w:rsidR="00D97120" w:rsidRPr="00F73E69" w:rsidRDefault="00D97120" w:rsidP="00D97120">
                            <w:pPr>
                              <w:spacing w:before="60"/>
                              <w:jc w:val="center"/>
                              <w:rPr>
                                <w:b/>
                                <w:sz w:val="26"/>
                                <w:szCs w:val="26"/>
                              </w:rPr>
                            </w:pPr>
                            <w:r w:rsidRPr="00F73E69">
                              <w:rPr>
                                <w:b/>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6D37D" id="_x0000_t202" coordsize="21600,21600" o:spt="202" path="m,l,21600r21600,l21600,xe">
                <v:stroke joinstyle="miter"/>
                <v:path gradientshapeok="t" o:connecttype="rect"/>
              </v:shapetype>
              <v:shape id="Text Box 2" o:spid="_x0000_s1026" type="#_x0000_t202" style="position:absolute;left:0;text-align:left;margin-left:.1pt;margin-top:4.9pt;width:80pt;height:2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">
                <v:textbox>
                  <w:txbxContent>
                    <w:p w14:paraId="05558747" w14:textId="77777777" w:rsidR="00D97120" w:rsidRPr="00F73E69" w:rsidRDefault="00D97120" w:rsidP="00D97120">
                      <w:pPr>
                        <w:spacing w:before="60"/>
                        <w:jc w:val="center"/>
                        <w:rPr>
                          <w:b/>
                          <w:sz w:val="26"/>
                          <w:szCs w:val="26"/>
                        </w:rPr>
                      </w:pPr>
                      <w:r w:rsidRPr="00F73E69">
                        <w:rPr>
                          <w:b/>
                          <w:sz w:val="26"/>
                          <w:szCs w:val="26"/>
                        </w:rPr>
                        <w:t>DỰ THẢO</w:t>
                      </w:r>
                    </w:p>
                  </w:txbxContent>
                </v:textbox>
              </v:shape>
            </w:pict>
          </mc:Fallback>
        </mc:AlternateContent>
      </w:r>
    </w:p>
    <w:p w14:paraId="1844A29A" w14:textId="77777777" w:rsidR="007B64CC" w:rsidRPr="00AC7F1B" w:rsidRDefault="00DA1FA6" w:rsidP="00AC7F1B">
      <w:pPr>
        <w:spacing w:before="360" w:after="0" w:line="240" w:lineRule="auto"/>
        <w:jc w:val="center"/>
        <w:rPr>
          <w:b/>
          <w:bCs/>
          <w:szCs w:val="28"/>
        </w:rPr>
      </w:pPr>
      <w:r w:rsidRPr="00AC7F1B">
        <w:rPr>
          <w:b/>
          <w:bCs/>
          <w:szCs w:val="28"/>
        </w:rPr>
        <w:t>TỜ</w:t>
      </w:r>
      <w:r w:rsidR="007F0404" w:rsidRPr="00AC7F1B">
        <w:rPr>
          <w:b/>
          <w:bCs/>
          <w:szCs w:val="28"/>
        </w:rPr>
        <w:t xml:space="preserve"> </w:t>
      </w:r>
      <w:r w:rsidR="007B64CC" w:rsidRPr="00AC7F1B">
        <w:rPr>
          <w:b/>
          <w:bCs/>
          <w:szCs w:val="28"/>
        </w:rPr>
        <w:t>TRÌNH</w:t>
      </w:r>
    </w:p>
    <w:p w14:paraId="1C1EB3B5" w14:textId="3927DAF3" w:rsidR="00614926" w:rsidRPr="00AC7F1B" w:rsidRDefault="00614926" w:rsidP="00614926">
      <w:pPr>
        <w:spacing w:after="0" w:line="240" w:lineRule="auto"/>
        <w:jc w:val="center"/>
        <w:rPr>
          <w:b/>
          <w:szCs w:val="28"/>
          <w:lang w:val="pl-PL"/>
        </w:rPr>
      </w:pPr>
      <w:r w:rsidRPr="00AC7F1B">
        <w:rPr>
          <w:b/>
          <w:szCs w:val="28"/>
        </w:rPr>
        <w:t xml:space="preserve">Về việc </w:t>
      </w:r>
      <w:r w:rsidR="00DB51D6">
        <w:rPr>
          <w:b/>
          <w:szCs w:val="28"/>
        </w:rPr>
        <w:t xml:space="preserve">đề nghị </w:t>
      </w:r>
      <w:r w:rsidR="00592544">
        <w:rPr>
          <w:b/>
          <w:szCs w:val="28"/>
        </w:rPr>
        <w:t xml:space="preserve">Hội đồng nhân dân tỉnh </w:t>
      </w:r>
      <w:r w:rsidR="00DB51D6">
        <w:rPr>
          <w:b/>
          <w:szCs w:val="28"/>
        </w:rPr>
        <w:t>ban hành</w:t>
      </w:r>
      <w:r w:rsidRPr="00AC7F1B">
        <w:rPr>
          <w:b/>
          <w:szCs w:val="28"/>
        </w:rPr>
        <w:t xml:space="preserve"> Nghị quyết </w:t>
      </w:r>
      <w:r w:rsidR="00DB51D6">
        <w:rPr>
          <w:b/>
          <w:szCs w:val="28"/>
        </w:rPr>
        <w:t>q</w:t>
      </w:r>
      <w:r w:rsidRPr="00AC7F1B">
        <w:rPr>
          <w:b/>
          <w:szCs w:val="28"/>
        </w:rPr>
        <w:t xml:space="preserve">uy định phân </w:t>
      </w:r>
      <w:r w:rsidR="00133CF5" w:rsidRPr="00AC7F1B">
        <w:rPr>
          <w:b/>
          <w:szCs w:val="28"/>
        </w:rPr>
        <w:t>cấp nhiệm vụ chi giữa ngân sách cấp tỉnh với ngân sách cấp xã đối với lĩnh vực khoa học, công nghệ, đổi mới sáng tạo và chuyển đổi số</w:t>
      </w:r>
    </w:p>
    <w:p w14:paraId="7255E78A" w14:textId="77777777" w:rsidR="0020665E" w:rsidRPr="00AC7F1B" w:rsidRDefault="003A095D" w:rsidP="00AD5476">
      <w:pPr>
        <w:spacing w:after="120" w:line="240" w:lineRule="auto"/>
        <w:ind w:firstLine="567"/>
        <w:jc w:val="center"/>
      </w:pPr>
      <w:r w:rsidRPr="00AC7F1B">
        <w:rPr>
          <w:noProof/>
        </w:rPr>
        <mc:AlternateContent>
          <mc:Choice Requires="wps">
            <w:drawing>
              <wp:anchor distT="4294967295" distB="4294967295" distL="114300" distR="114300" simplePos="0" relativeHeight="251648000" behindDoc="0" locked="0" layoutInCell="1" allowOverlap="1" wp14:anchorId="5C01D479" wp14:editId="39A70CDB">
                <wp:simplePos x="0" y="0"/>
                <wp:positionH relativeFrom="column">
                  <wp:posOffset>2407590</wp:posOffset>
                </wp:positionH>
                <wp:positionV relativeFrom="paragraph">
                  <wp:posOffset>15875</wp:posOffset>
                </wp:positionV>
                <wp:extent cx="9525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2FB96" id="Straight Connector 1" o:spid="_x0000_s1026" style="position:absolute;z-index:251648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55pt,1.25pt" to="264.5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"/>
            </w:pict>
          </mc:Fallback>
        </mc:AlternateContent>
      </w:r>
      <w:r w:rsidR="007B64CC" w:rsidRPr="00AC7F1B">
        <w:t xml:space="preserve">   </w:t>
      </w:r>
    </w:p>
    <w:p w14:paraId="60E0DE59" w14:textId="49076688" w:rsidR="007B64CC" w:rsidRPr="00AC7F1B" w:rsidRDefault="007B64CC" w:rsidP="00E418F7">
      <w:pPr>
        <w:spacing w:after="120" w:line="240" w:lineRule="auto"/>
        <w:ind w:firstLine="567"/>
        <w:jc w:val="center"/>
      </w:pPr>
      <w:r w:rsidRPr="00AC7F1B">
        <w:t xml:space="preserve">Kính gửi: </w:t>
      </w:r>
      <w:r w:rsidR="008C720F">
        <w:t>Hội đồng nhân dân</w:t>
      </w:r>
      <w:r w:rsidRPr="00AC7F1B">
        <w:t xml:space="preserve"> tỉ</w:t>
      </w:r>
      <w:r w:rsidR="00B46FAC" w:rsidRPr="00AC7F1B">
        <w:t>nh</w:t>
      </w:r>
      <w:r w:rsidRPr="00AC7F1B">
        <w:t xml:space="preserve"> </w:t>
      </w:r>
    </w:p>
    <w:p w14:paraId="2FD4198B" w14:textId="77777777" w:rsidR="00272469" w:rsidRPr="00AC7F1B" w:rsidRDefault="00272469" w:rsidP="00AD5476">
      <w:pPr>
        <w:spacing w:after="120" w:line="240" w:lineRule="auto"/>
        <w:ind w:firstLine="567"/>
        <w:jc w:val="center"/>
      </w:pPr>
    </w:p>
    <w:p w14:paraId="0ADBB17C" w14:textId="0A79C9AE" w:rsidR="00614926" w:rsidRPr="00AC7F1B" w:rsidRDefault="007C613E" w:rsidP="007C613E">
      <w:pPr>
        <w:spacing w:after="120" w:line="240" w:lineRule="auto"/>
        <w:ind w:firstLine="567"/>
        <w:jc w:val="both"/>
      </w:pPr>
      <w:r>
        <w:rPr>
          <w:bCs/>
          <w:szCs w:val="28"/>
        </w:rPr>
        <w:t xml:space="preserve">Thực hiện quy định tại Điều 43 Nghị định số 78/2025/NĐ-CP ngày 01/4/2025 của Chính phủ được sửa đổi tại khoản 24 Điều 1 Nghị định số 187/2025/NĐ-CP ngày 01/7/2025; </w:t>
      </w:r>
      <w:r w:rsidRPr="00133AE8">
        <w:rPr>
          <w:bCs/>
          <w:szCs w:val="28"/>
        </w:rPr>
        <w:t>đ</w:t>
      </w:r>
      <w:r w:rsidRPr="00133AE8">
        <w:rPr>
          <w:szCs w:val="28"/>
        </w:rPr>
        <w:t xml:space="preserve">ể </w:t>
      </w:r>
      <w:r w:rsidRPr="00133AE8">
        <w:t>kịp thời quy định</w:t>
      </w:r>
      <w:r w:rsidRPr="00133AE8">
        <w:rPr>
          <w:szCs w:val="28"/>
        </w:rPr>
        <w:t xml:space="preserve"> </w:t>
      </w:r>
      <w:r w:rsidRPr="00133AE8">
        <w:rPr>
          <w:spacing w:val="-2"/>
          <w:szCs w:val="28"/>
        </w:rPr>
        <w:t>phân cấp nhiệm vụ chi giữa ngân sách cấp tỉnh với ngân sách cấp xã đối với lĩnh vực khoa học, công nghệ, đổi mới sáng tạo và chuyển đổi số</w:t>
      </w:r>
      <w:r>
        <w:rPr>
          <w:spacing w:val="-2"/>
        </w:rPr>
        <w:t xml:space="preserve"> trên địa bàn tỉnh Quảng Ngãi</w:t>
      </w:r>
      <w:r w:rsidRPr="001134AE">
        <w:rPr>
          <w:bCs/>
          <w:szCs w:val="28"/>
        </w:rPr>
        <w:t xml:space="preserve">, </w:t>
      </w:r>
      <w:r>
        <w:rPr>
          <w:bCs/>
          <w:szCs w:val="28"/>
        </w:rPr>
        <w:t>theo đề xuất của Sở Tài chính tại văn bản số       /STC-HCSN ngày    /</w:t>
      </w:r>
      <w:r w:rsidR="007B2A9C">
        <w:rPr>
          <w:bCs/>
          <w:szCs w:val="28"/>
        </w:rPr>
        <w:t>10</w:t>
      </w:r>
      <w:r>
        <w:rPr>
          <w:bCs/>
          <w:szCs w:val="28"/>
        </w:rPr>
        <w:t xml:space="preserve">/2025, </w:t>
      </w:r>
      <w:r w:rsidRPr="001134AE">
        <w:rPr>
          <w:bCs/>
          <w:szCs w:val="28"/>
        </w:rPr>
        <w:t xml:space="preserve">UBND tỉnh </w:t>
      </w:r>
      <w:r w:rsidR="007B2A9C" w:rsidRPr="0019520E">
        <w:rPr>
          <w:szCs w:val="28"/>
        </w:rPr>
        <w:t xml:space="preserve">kính trình HĐND tỉnh ban hành Nghị quyết </w:t>
      </w:r>
      <w:r w:rsidR="007B2A9C">
        <w:rPr>
          <w:szCs w:val="28"/>
        </w:rPr>
        <w:t>q</w:t>
      </w:r>
      <w:r w:rsidRPr="001134AE">
        <w:rPr>
          <w:spacing w:val="-2"/>
          <w:szCs w:val="28"/>
        </w:rPr>
        <w:t xml:space="preserve">uy định </w:t>
      </w:r>
      <w:r w:rsidRPr="00133AE8">
        <w:rPr>
          <w:spacing w:val="-2"/>
          <w:szCs w:val="28"/>
        </w:rPr>
        <w:t>phân cấp nhiệm vụ chi giữa ngân sách cấp tỉnh với ngân sách cấp xã đối với lĩnh vực khoa học, công nghệ, đổi mới sáng tạo và chuyển đổi số</w:t>
      </w:r>
      <w:r w:rsidRPr="001134AE">
        <w:t>, với những nội dung như sau:</w:t>
      </w:r>
    </w:p>
    <w:p w14:paraId="4762F1A4" w14:textId="77777777" w:rsidR="00785524" w:rsidRPr="00AC7F1B" w:rsidRDefault="00785524" w:rsidP="00E418F7">
      <w:pPr>
        <w:pStyle w:val="ListParagraph"/>
        <w:numPr>
          <w:ilvl w:val="0"/>
          <w:numId w:val="3"/>
        </w:numPr>
        <w:tabs>
          <w:tab w:val="left" w:pos="851"/>
        </w:tabs>
        <w:spacing w:before="100" w:after="0" w:line="240" w:lineRule="auto"/>
        <w:ind w:left="0" w:firstLine="567"/>
        <w:contextualSpacing w:val="0"/>
        <w:jc w:val="both"/>
        <w:rPr>
          <w:b/>
          <w:szCs w:val="28"/>
          <w:lang w:val="pl-PL"/>
        </w:rPr>
      </w:pPr>
      <w:r w:rsidRPr="00AC7F1B">
        <w:rPr>
          <w:b/>
          <w:szCs w:val="28"/>
          <w:lang w:val="pl-PL"/>
        </w:rPr>
        <w:t>SỰ CẦN THIẾT BAN HÀNH NGHỊ QUYẾT</w:t>
      </w:r>
    </w:p>
    <w:p w14:paraId="2AE2AFC1" w14:textId="77777777" w:rsidR="007E5B18" w:rsidRPr="007E5B18" w:rsidRDefault="007E5B18" w:rsidP="007E5B18">
      <w:pPr>
        <w:spacing w:before="120" w:after="120" w:line="240" w:lineRule="auto"/>
        <w:ind w:firstLine="567"/>
        <w:jc w:val="both"/>
        <w:rPr>
          <w:b/>
          <w:szCs w:val="28"/>
        </w:rPr>
      </w:pPr>
      <w:r w:rsidRPr="007E5B18">
        <w:rPr>
          <w:b/>
          <w:szCs w:val="28"/>
        </w:rPr>
        <w:t>1. Cơ sở chính trị, pháp lý</w:t>
      </w:r>
    </w:p>
    <w:p w14:paraId="0DA8C52D" w14:textId="77777777" w:rsidR="007E5B18" w:rsidRDefault="007E5B18" w:rsidP="007E5B18">
      <w:pPr>
        <w:spacing w:after="120" w:line="240" w:lineRule="auto"/>
        <w:ind w:firstLine="567"/>
        <w:jc w:val="both"/>
      </w:pPr>
      <w:r>
        <w:t>Căn cứ Luật Ban hành văn bản quy phạm pháp luật số 64/2025/QH15 được sửa đổi, bổ sung bởi Luật số 87/2025/QH15;</w:t>
      </w:r>
    </w:p>
    <w:p w14:paraId="1EA1121C" w14:textId="77777777" w:rsidR="007E5B18" w:rsidRDefault="007E5B18" w:rsidP="007E5B18">
      <w:pPr>
        <w:spacing w:after="120" w:line="240" w:lineRule="auto"/>
        <w:ind w:firstLine="567"/>
        <w:jc w:val="both"/>
      </w:pPr>
      <w:r>
        <w:t>Căn cứ Luật Ngân sách nhà nước ngày 25/6/2025;</w:t>
      </w:r>
    </w:p>
    <w:p w14:paraId="24408FF2" w14:textId="77777777" w:rsidR="007E5B18" w:rsidRPr="00044449" w:rsidRDefault="007E5B18" w:rsidP="007E5B18">
      <w:pPr>
        <w:spacing w:after="120" w:line="240" w:lineRule="auto"/>
        <w:ind w:firstLine="567"/>
        <w:jc w:val="both"/>
        <w:rPr>
          <w:szCs w:val="28"/>
          <w:lang w:val="fr-FR"/>
        </w:rPr>
      </w:pPr>
      <w:r w:rsidRPr="00044449">
        <w:rPr>
          <w:szCs w:val="28"/>
          <w:lang w:val="fr-FR"/>
        </w:rPr>
        <w:t>Căn cứ Nghị quyết số 202/2025/QH15 ngày 12 tháng 6 năm 2025 của Quốc hội về việc sắp xếp đơn vị hành chính cấp tỉnh;</w:t>
      </w:r>
    </w:p>
    <w:p w14:paraId="5BDEED3C" w14:textId="77777777" w:rsidR="007E5B18" w:rsidRPr="00044449" w:rsidRDefault="007E5B18" w:rsidP="007E5B18">
      <w:pPr>
        <w:spacing w:after="120" w:line="240" w:lineRule="auto"/>
        <w:ind w:firstLine="567"/>
        <w:jc w:val="both"/>
        <w:rPr>
          <w:szCs w:val="28"/>
          <w:lang w:val="fr-FR"/>
        </w:rPr>
      </w:pPr>
      <w:r w:rsidRPr="00044449">
        <w:rPr>
          <w:szCs w:val="28"/>
          <w:lang w:val="fr-FR"/>
        </w:rPr>
        <w:t>Căn cứ Nghị quyết số 76/2025/UBTVQH15 ngày 14 tháng 4 năm 2025 của Ủy ban Thường vụ Quốc hội về việc sắp xếp đơn vị hành chính năm 2025;</w:t>
      </w:r>
    </w:p>
    <w:p w14:paraId="110EF3A6" w14:textId="77777777" w:rsidR="00D9411F" w:rsidRPr="0019520E" w:rsidRDefault="00D9411F" w:rsidP="008E6325">
      <w:pPr>
        <w:pStyle w:val="BodyText3"/>
        <w:spacing w:before="120" w:after="120"/>
        <w:ind w:firstLine="567"/>
        <w:jc w:val="both"/>
        <w:rPr>
          <w:rFonts w:ascii="Times New Roman" w:hAnsi="Times New Roman"/>
          <w:bCs/>
          <w:sz w:val="28"/>
          <w:szCs w:val="28"/>
        </w:rPr>
      </w:pPr>
      <w:r w:rsidRPr="0019520E">
        <w:rPr>
          <w:rFonts w:ascii="Times New Roman" w:hAnsi="Times New Roman"/>
          <w:bCs/>
          <w:sz w:val="28"/>
          <w:szCs w:val="28"/>
        </w:rPr>
        <w:t>2. Cơ sở thực tiễn</w:t>
      </w:r>
    </w:p>
    <w:p w14:paraId="074756AC" w14:textId="6205266F" w:rsidR="00886338" w:rsidRDefault="00525209" w:rsidP="00886338">
      <w:pPr>
        <w:spacing w:after="120" w:line="240" w:lineRule="auto"/>
        <w:ind w:firstLine="567"/>
        <w:jc w:val="both"/>
        <w:rPr>
          <w:bCs/>
        </w:rPr>
      </w:pPr>
      <w:r>
        <w:rPr>
          <w:lang w:val="pl-PL"/>
        </w:rPr>
        <w:t>T</w:t>
      </w:r>
      <w:r w:rsidR="00886338" w:rsidRPr="00094AD0">
        <w:rPr>
          <w:lang w:val="pl-PL"/>
        </w:rPr>
        <w:t xml:space="preserve">ại </w:t>
      </w:r>
      <w:r w:rsidR="00886338" w:rsidRPr="00094AD0">
        <w:rPr>
          <w:bCs/>
        </w:rPr>
        <w:t xml:space="preserve">Điều 41 </w:t>
      </w:r>
      <w:r w:rsidR="00886338">
        <w:rPr>
          <w:bCs/>
        </w:rPr>
        <w:t xml:space="preserve">và điểm a </w:t>
      </w:r>
      <w:r w:rsidR="00886338" w:rsidRPr="00740DCC">
        <w:rPr>
          <w:spacing w:val="-2"/>
        </w:rPr>
        <w:t>khoản 3 Điều 77</w:t>
      </w:r>
      <w:r w:rsidR="00886338" w:rsidRPr="008759F8">
        <w:rPr>
          <w:i/>
          <w:iCs/>
          <w:spacing w:val="-2"/>
        </w:rPr>
        <w:t xml:space="preserve"> </w:t>
      </w:r>
      <w:r w:rsidR="00886338" w:rsidRPr="00094AD0">
        <w:rPr>
          <w:bCs/>
        </w:rPr>
        <w:t>Luật Ngân sách nhà nước năm 2025</w:t>
      </w:r>
      <w:r>
        <w:rPr>
          <w:bCs/>
        </w:rPr>
        <w:t xml:space="preserve"> </w:t>
      </w:r>
      <w:r w:rsidRPr="00094AD0">
        <w:rPr>
          <w:lang w:val="pl-PL"/>
        </w:rPr>
        <w:t>quy định</w:t>
      </w:r>
      <w:r w:rsidR="00886338">
        <w:rPr>
          <w:bCs/>
        </w:rPr>
        <w:t>:</w:t>
      </w:r>
    </w:p>
    <w:p w14:paraId="56D4AF91" w14:textId="77777777" w:rsidR="00886338" w:rsidRPr="0001627F" w:rsidRDefault="00886338" w:rsidP="00886338">
      <w:pPr>
        <w:spacing w:after="120" w:line="240" w:lineRule="auto"/>
        <w:ind w:firstLine="567"/>
        <w:jc w:val="both"/>
        <w:rPr>
          <w:bCs/>
          <w:i/>
          <w:iCs/>
        </w:rPr>
      </w:pPr>
      <w:r w:rsidRPr="0001627F">
        <w:rPr>
          <w:bCs/>
          <w:i/>
          <w:iCs/>
        </w:rPr>
        <w:t xml:space="preserve">“ </w:t>
      </w:r>
      <w:r w:rsidRPr="0001627F">
        <w:rPr>
          <w:b/>
          <w:i/>
          <w:iCs/>
        </w:rPr>
        <w:t>Điều 41.</w:t>
      </w:r>
      <w:r w:rsidRPr="0001627F">
        <w:rPr>
          <w:bCs/>
          <w:i/>
          <w:iCs/>
        </w:rPr>
        <w:t xml:space="preserve"> </w:t>
      </w:r>
      <w:r w:rsidRPr="0001627F">
        <w:rPr>
          <w:b/>
          <w:bCs/>
          <w:i/>
          <w:iCs/>
        </w:rPr>
        <w:t>Nguyên tắc phân cấp nguồn thu, nhiệm vụ chi giữa ngân sách cấp tỉnh và ngân sách cấp xã.</w:t>
      </w:r>
    </w:p>
    <w:p w14:paraId="38603886" w14:textId="77777777" w:rsidR="00886338" w:rsidRDefault="00886338" w:rsidP="00886338">
      <w:pPr>
        <w:spacing w:after="120" w:line="240" w:lineRule="auto"/>
        <w:ind w:firstLine="567"/>
        <w:jc w:val="both"/>
        <w:rPr>
          <w:bCs/>
          <w:i/>
        </w:rPr>
      </w:pPr>
      <w:r w:rsidRPr="00094AD0">
        <w:rPr>
          <w:bCs/>
          <w:i/>
        </w:rPr>
        <w:t xml:space="preserve">Căn cứ vào nguồn thu, nhiệm vụ chi của ngân sách địa phương quy định tại Điều 38 và Điều 39 của Luật này, Hội đồng nhân dân cấp tỉnh quyết định phân cấp cụ thể nguồn thu, tỷ lệ phần trăm (%) phân chia các khoản thu và nhiệm vụ chi giữa ngân sách cấp tỉnh và ngân sách cấp xã phù hợp với phân cấp nhiệm vụ </w:t>
      </w:r>
      <w:r w:rsidRPr="00094AD0">
        <w:rPr>
          <w:bCs/>
          <w:i/>
        </w:rPr>
        <w:lastRenderedPageBreak/>
        <w:t>kinh tế - xã hội, quốc phòng, an ninh đối với từng lĩnh vực và đặc điểm kinh tế, địa lý, dân cư, khả năng quản lý của từng địa phương</w:t>
      </w:r>
      <w:r>
        <w:rPr>
          <w:bCs/>
          <w:i/>
        </w:rPr>
        <w:t xml:space="preserve">; </w:t>
      </w:r>
    </w:p>
    <w:p w14:paraId="6E6BECB1" w14:textId="77777777" w:rsidR="00886338" w:rsidRDefault="00886338" w:rsidP="00886338">
      <w:pPr>
        <w:spacing w:after="120" w:line="240" w:lineRule="auto"/>
        <w:ind w:firstLine="567"/>
        <w:jc w:val="both"/>
        <w:rPr>
          <w:b/>
          <w:bCs/>
          <w:i/>
          <w:iCs/>
        </w:rPr>
      </w:pPr>
      <w:r w:rsidRPr="0001627F">
        <w:rPr>
          <w:b/>
          <w:bCs/>
          <w:i/>
          <w:iCs/>
          <w:spacing w:val="-2"/>
        </w:rPr>
        <w:t>Điều 77.</w:t>
      </w:r>
      <w:r>
        <w:rPr>
          <w:i/>
          <w:iCs/>
          <w:spacing w:val="-2"/>
        </w:rPr>
        <w:t xml:space="preserve"> </w:t>
      </w:r>
      <w:r w:rsidRPr="0001627F">
        <w:rPr>
          <w:b/>
          <w:bCs/>
          <w:i/>
          <w:iCs/>
        </w:rPr>
        <w:t>Điều khoản thi hành</w:t>
      </w:r>
    </w:p>
    <w:p w14:paraId="3D643F35" w14:textId="77777777" w:rsidR="00886338" w:rsidRPr="004A3024" w:rsidRDefault="00886338" w:rsidP="00886338">
      <w:pPr>
        <w:spacing w:after="120" w:line="240" w:lineRule="auto"/>
        <w:ind w:firstLine="567"/>
        <w:jc w:val="both"/>
        <w:rPr>
          <w:i/>
          <w:iCs/>
        </w:rPr>
      </w:pPr>
      <w:r w:rsidRPr="004A3024">
        <w:rPr>
          <w:i/>
          <w:iCs/>
        </w:rPr>
        <w:t>…</w:t>
      </w:r>
    </w:p>
    <w:p w14:paraId="49D9A64D" w14:textId="77777777" w:rsidR="00886338" w:rsidRPr="004A3024" w:rsidRDefault="00886338" w:rsidP="00886338">
      <w:pPr>
        <w:spacing w:after="120" w:line="240" w:lineRule="auto"/>
        <w:ind w:firstLine="567"/>
        <w:jc w:val="both"/>
        <w:rPr>
          <w:i/>
          <w:iCs/>
        </w:rPr>
      </w:pPr>
      <w:r w:rsidRPr="004A3024">
        <w:rPr>
          <w:i/>
          <w:iCs/>
        </w:rPr>
        <w:t>3. Một số nội dung quy định tại Luật này được thực hiện từ ngày 01 tháng 7 năm 2025 bao gồm:</w:t>
      </w:r>
    </w:p>
    <w:p w14:paraId="3DCDADD7" w14:textId="77777777" w:rsidR="00886338" w:rsidRPr="00B85673" w:rsidRDefault="00886338" w:rsidP="00886338">
      <w:pPr>
        <w:spacing w:after="120" w:line="240" w:lineRule="auto"/>
        <w:ind w:firstLine="567"/>
        <w:jc w:val="both"/>
        <w:rPr>
          <w:i/>
          <w:iCs/>
          <w:lang w:val="vi-VN"/>
        </w:rPr>
      </w:pPr>
      <w:r w:rsidRPr="004A3024">
        <w:rPr>
          <w:i/>
          <w:iCs/>
        </w:rPr>
        <w:t>a) Việc phân cấp nhiệm vụ chi giữa ngân sách cấp tỉnh với ngân sách cấp xã đối với lĩnh vực khoa học, công nghệ, đổi mới sáng tạo và chuyển đổi số</w:t>
      </w:r>
      <w:r>
        <w:rPr>
          <w:i/>
          <w:iCs/>
          <w:spacing w:val="-2"/>
        </w:rPr>
        <w:t>”</w:t>
      </w:r>
      <w:r>
        <w:rPr>
          <w:bCs/>
        </w:rPr>
        <w:t>.</w:t>
      </w:r>
    </w:p>
    <w:p w14:paraId="13514C77" w14:textId="234F4925" w:rsidR="006E615B" w:rsidRPr="00F766A1" w:rsidRDefault="00FB03C7" w:rsidP="00ED14FA">
      <w:pPr>
        <w:spacing w:after="120" w:line="240" w:lineRule="auto"/>
        <w:ind w:firstLine="567"/>
        <w:jc w:val="both"/>
        <w:rPr>
          <w:lang w:val="nl-NL"/>
        </w:rPr>
      </w:pPr>
      <w:r w:rsidRPr="00FB03C7">
        <w:rPr>
          <w:szCs w:val="28"/>
        </w:rPr>
        <w:t xml:space="preserve">Do đó, </w:t>
      </w:r>
      <w:r w:rsidR="00ED14FA">
        <w:t xml:space="preserve">để </w:t>
      </w:r>
      <w:r w:rsidR="00DF5A13">
        <w:t>có</w:t>
      </w:r>
      <w:r w:rsidR="00ED14FA">
        <w:t xml:space="preserve"> cơ sở giao dự toán chi ngân sách địa phương </w:t>
      </w:r>
      <w:r w:rsidR="00DF5A13" w:rsidRPr="00FB03C7">
        <w:rPr>
          <w:szCs w:val="28"/>
        </w:rPr>
        <w:t>phù hợp với mô hình chính quyền địa phương 02 cấp</w:t>
      </w:r>
      <w:r w:rsidR="00A30DC2">
        <w:rPr>
          <w:szCs w:val="28"/>
        </w:rPr>
        <w:t xml:space="preserve"> và tình hình thực tiễn </w:t>
      </w:r>
      <w:r w:rsidR="00F1789F">
        <w:rPr>
          <w:szCs w:val="28"/>
        </w:rPr>
        <w:t xml:space="preserve">tại </w:t>
      </w:r>
      <w:r w:rsidR="00A30DC2">
        <w:rPr>
          <w:szCs w:val="28"/>
        </w:rPr>
        <w:t>địa phương</w:t>
      </w:r>
      <w:r w:rsidR="00886338" w:rsidRPr="0071057C">
        <w:t xml:space="preserve">, </w:t>
      </w:r>
      <w:r w:rsidR="00F766A1" w:rsidRPr="00F766A1">
        <w:rPr>
          <w:szCs w:val="28"/>
        </w:rPr>
        <w:t xml:space="preserve">việc trình HĐND tỉnh ban hành Nghị quyết </w:t>
      </w:r>
      <w:r w:rsidR="00886338" w:rsidRPr="0071057C">
        <w:t xml:space="preserve">Quy định </w:t>
      </w:r>
      <w:r w:rsidR="00886338" w:rsidRPr="00480D1F">
        <w:rPr>
          <w:spacing w:val="-2"/>
          <w:szCs w:val="28"/>
        </w:rPr>
        <w:t>phân cấp nhiệm vụ chi giữa ngân sách cấp tỉnh với ngân sách cấp xã đối với lĩnh vực khoa học, công nghệ, đổi mới sáng tạo và chuyển đổi số</w:t>
      </w:r>
      <w:r w:rsidR="00F766A1">
        <w:rPr>
          <w:spacing w:val="-2"/>
          <w:szCs w:val="28"/>
        </w:rPr>
        <w:t xml:space="preserve"> </w:t>
      </w:r>
      <w:r w:rsidR="00F766A1" w:rsidRPr="00F766A1">
        <w:rPr>
          <w:szCs w:val="28"/>
        </w:rPr>
        <w:t>là cần thiết và phù hợp.</w:t>
      </w:r>
      <w:r w:rsidR="00CE6AB6" w:rsidRPr="00F766A1">
        <w:rPr>
          <w:spacing w:val="-2"/>
          <w:szCs w:val="28"/>
        </w:rPr>
        <w:t xml:space="preserve"> </w:t>
      </w:r>
      <w:r w:rsidR="00886338" w:rsidRPr="00F766A1">
        <w:rPr>
          <w:rStyle w:val="Bodytext0"/>
          <w:color w:val="000000"/>
          <w:lang w:eastAsia="vi-VN"/>
        </w:rPr>
        <w:t xml:space="preserve"> </w:t>
      </w:r>
    </w:p>
    <w:p w14:paraId="08062479" w14:textId="77777777" w:rsidR="00785524" w:rsidRPr="00AC7F1B" w:rsidRDefault="00785524" w:rsidP="00E418F7">
      <w:pPr>
        <w:spacing w:before="100" w:after="0" w:line="240" w:lineRule="auto"/>
        <w:ind w:firstLine="567"/>
        <w:jc w:val="both"/>
        <w:rPr>
          <w:b/>
          <w:szCs w:val="28"/>
        </w:rPr>
      </w:pPr>
      <w:r w:rsidRPr="00AC7F1B">
        <w:rPr>
          <w:b/>
          <w:szCs w:val="28"/>
        </w:rPr>
        <w:t>II. MỤC ĐÍCH, QUAN ĐIỂM XÂY DỰNG NGHỊ QUYẾT</w:t>
      </w:r>
    </w:p>
    <w:p w14:paraId="39412569" w14:textId="002F08E5" w:rsidR="00785524" w:rsidRPr="00AC7F1B" w:rsidRDefault="00785524" w:rsidP="00E418F7">
      <w:pPr>
        <w:spacing w:before="100" w:after="0" w:line="240" w:lineRule="auto"/>
        <w:ind w:firstLine="567"/>
        <w:jc w:val="both"/>
        <w:rPr>
          <w:lang w:val="pl-PL"/>
        </w:rPr>
      </w:pPr>
      <w:r w:rsidRPr="00AC7F1B">
        <w:rPr>
          <w:b/>
        </w:rPr>
        <w:t>1. Mục đích:</w:t>
      </w:r>
      <w:r w:rsidRPr="00AC7F1B">
        <w:rPr>
          <w:b/>
          <w:lang w:val="pl-PL"/>
        </w:rPr>
        <w:tab/>
      </w:r>
      <w:r w:rsidRPr="00AC7F1B">
        <w:rPr>
          <w:color w:val="000000"/>
          <w:szCs w:val="28"/>
        </w:rPr>
        <w:t>Thiết lập khung pháp lý đầy đủ, đồng bộ, đảm bảo thống nhất, phù hợp với quy định pháp luật có liên quan và làm cơ sở giao dự toán chi ngân sách nhà nước cho cấp tỉnh và cấp xã</w:t>
      </w:r>
      <w:r w:rsidRPr="00AC7F1B">
        <w:rPr>
          <w:color w:val="000000"/>
          <w:szCs w:val="28"/>
          <w:shd w:val="clear" w:color="auto" w:fill="FFFFFF"/>
        </w:rPr>
        <w:t>.</w:t>
      </w:r>
    </w:p>
    <w:p w14:paraId="134512AD" w14:textId="77777777" w:rsidR="00785524" w:rsidRPr="00AC7F1B" w:rsidRDefault="00785524" w:rsidP="00E418F7">
      <w:pPr>
        <w:spacing w:before="100" w:after="0" w:line="240" w:lineRule="auto"/>
        <w:ind w:firstLine="567"/>
        <w:jc w:val="both"/>
        <w:rPr>
          <w:b/>
          <w:lang w:val="pl-PL"/>
        </w:rPr>
      </w:pPr>
      <w:r w:rsidRPr="00AC7F1B">
        <w:rPr>
          <w:b/>
          <w:lang w:val="pl-PL"/>
        </w:rPr>
        <w:t xml:space="preserve">2. Quan điểm: </w:t>
      </w:r>
    </w:p>
    <w:p w14:paraId="5BEA2F0B" w14:textId="77777777" w:rsidR="00785524" w:rsidRPr="00AC7F1B" w:rsidRDefault="00785524" w:rsidP="00E418F7">
      <w:pPr>
        <w:spacing w:before="100" w:after="0" w:line="240" w:lineRule="auto"/>
        <w:ind w:firstLine="567"/>
        <w:jc w:val="both"/>
        <w:rPr>
          <w:szCs w:val="28"/>
        </w:rPr>
      </w:pPr>
      <w:r w:rsidRPr="00AC7F1B">
        <w:rPr>
          <w:szCs w:val="28"/>
        </w:rPr>
        <w:t>- Đảm bảo yêu cầu về tính hợp hiến, hợp pháp, tuân thủ đúng thẩm quyền, hình thức, trình tự thủ tục xây dựng, ban hành văn bản quy phạm pháp luật.</w:t>
      </w:r>
    </w:p>
    <w:p w14:paraId="421B9BAD" w14:textId="77777777" w:rsidR="00785524" w:rsidRPr="00AC7F1B" w:rsidRDefault="00785524" w:rsidP="00E418F7">
      <w:pPr>
        <w:spacing w:before="100" w:after="0" w:line="240" w:lineRule="auto"/>
        <w:ind w:firstLine="567"/>
        <w:jc w:val="both"/>
        <w:rPr>
          <w:szCs w:val="28"/>
        </w:rPr>
      </w:pPr>
      <w:r w:rsidRPr="00AC7F1B">
        <w:rPr>
          <w:szCs w:val="28"/>
          <w:lang w:val="pt-BR"/>
        </w:rPr>
        <w:t xml:space="preserve">- Việc phân </w:t>
      </w:r>
      <w:r w:rsidRPr="00AC7F1B">
        <w:rPr>
          <w:szCs w:val="28"/>
        </w:rPr>
        <w:t>cấp nhiệm vụ chi giữa ngân sách cấp tỉnh với ngân sách cấp xã đối với lĩnh vực khoa học, công nghệ, đổi mới sáng tạo và chuyển đổi số</w:t>
      </w:r>
      <w:r w:rsidRPr="00AC7F1B">
        <w:rPr>
          <w:bCs/>
        </w:rPr>
        <w:t xml:space="preserve"> phù hợp với phân cấp nhiệm vụ kinh tế - xã hội, quốc phòng, an ninh đối với từng lĩnh vực và đặc điểm kinh tế, địa lý, dân cư, khả năng quản lý của từng địa phương</w:t>
      </w:r>
      <w:r w:rsidRPr="00AC7F1B">
        <w:rPr>
          <w:szCs w:val="28"/>
          <w:lang w:val="pt-BR"/>
        </w:rPr>
        <w:t>.</w:t>
      </w:r>
    </w:p>
    <w:p w14:paraId="38301E28" w14:textId="77777777" w:rsidR="00785524" w:rsidRPr="00AC7F1B" w:rsidRDefault="00785524" w:rsidP="00E418F7">
      <w:pPr>
        <w:spacing w:before="100" w:after="0" w:line="240" w:lineRule="auto"/>
        <w:ind w:firstLine="567"/>
        <w:rPr>
          <w:b/>
          <w:bCs/>
          <w:szCs w:val="28"/>
        </w:rPr>
      </w:pPr>
      <w:r w:rsidRPr="00AC7F1B">
        <w:rPr>
          <w:b/>
          <w:bCs/>
          <w:szCs w:val="28"/>
        </w:rPr>
        <w:t>III. PHẠM VI, ĐỐI TƯỢNG ÁP DỤNG CỦA CHÍNH SÁCH</w:t>
      </w:r>
    </w:p>
    <w:p w14:paraId="2901A3FF" w14:textId="77777777" w:rsidR="00785524" w:rsidRPr="00AC7F1B" w:rsidRDefault="00785524" w:rsidP="00E418F7">
      <w:pPr>
        <w:pStyle w:val="BodyText"/>
        <w:spacing w:before="100" w:after="0" w:line="240" w:lineRule="auto"/>
        <w:ind w:firstLine="567"/>
        <w:jc w:val="both"/>
        <w:rPr>
          <w:bCs/>
        </w:rPr>
      </w:pPr>
      <w:r w:rsidRPr="00AC7F1B">
        <w:rPr>
          <w:b/>
        </w:rPr>
        <w:t>1. Phạm vi điều chỉnh:</w:t>
      </w:r>
      <w:r w:rsidRPr="00AC7F1B">
        <w:rPr>
          <w:bCs/>
        </w:rPr>
        <w:t xml:space="preserve"> Nghị quyết này q</w:t>
      </w:r>
      <w:r w:rsidRPr="00AC7F1B">
        <w:t xml:space="preserve">uy định phân </w:t>
      </w:r>
      <w:r w:rsidRPr="00AC7F1B">
        <w:rPr>
          <w:szCs w:val="28"/>
        </w:rPr>
        <w:t>cấp nhiệm vụ chi giữa ngân sách cấp tỉnh với ngân sách cấp xã đối với lĩnh vực khoa học, công nghệ, đổi mới sáng tạo và chuyển đổi số</w:t>
      </w:r>
      <w:r w:rsidRPr="00AC7F1B">
        <w:rPr>
          <w:bCs/>
        </w:rPr>
        <w:t>.</w:t>
      </w:r>
    </w:p>
    <w:p w14:paraId="3EFD41B5" w14:textId="77777777" w:rsidR="00785524" w:rsidRPr="00AC7F1B" w:rsidRDefault="00785524" w:rsidP="00E418F7">
      <w:pPr>
        <w:widowControl w:val="0"/>
        <w:spacing w:before="100" w:after="0" w:line="240" w:lineRule="auto"/>
        <w:ind w:firstLine="567"/>
        <w:jc w:val="both"/>
        <w:rPr>
          <w:b/>
          <w:szCs w:val="28"/>
        </w:rPr>
      </w:pPr>
      <w:r w:rsidRPr="00AC7F1B">
        <w:rPr>
          <w:b/>
          <w:szCs w:val="28"/>
        </w:rPr>
        <w:t xml:space="preserve">2. Đối tượng áp dụng: </w:t>
      </w:r>
    </w:p>
    <w:p w14:paraId="6E0CB7A0" w14:textId="77777777" w:rsidR="00351D49" w:rsidRPr="00FF6718" w:rsidRDefault="00785524" w:rsidP="0004720A">
      <w:pPr>
        <w:spacing w:before="120" w:after="120"/>
        <w:ind w:firstLine="567"/>
        <w:jc w:val="both"/>
        <w:rPr>
          <w:szCs w:val="28"/>
        </w:rPr>
      </w:pPr>
      <w:r w:rsidRPr="00AC7F1B">
        <w:t xml:space="preserve">a) </w:t>
      </w:r>
      <w:r w:rsidR="00351D49" w:rsidRPr="00FF6718">
        <w:rPr>
          <w:szCs w:val="28"/>
        </w:rPr>
        <w:t>Các cơ quan nhà nước, tổ chức chính trị và các tổ chức chính trị - xã hội thuộc tỉnh; các cơ quan, đơn vị khác ở tỉnh và Ủy ban nhân dân các xã, phường, đặc khu thuộc tỉnh;</w:t>
      </w:r>
    </w:p>
    <w:p w14:paraId="534EE415" w14:textId="77777777" w:rsidR="00785524" w:rsidRPr="00AC7F1B" w:rsidRDefault="00785524" w:rsidP="00E418F7">
      <w:pPr>
        <w:spacing w:before="100" w:after="0" w:line="240" w:lineRule="auto"/>
        <w:ind w:firstLine="567"/>
        <w:jc w:val="both"/>
      </w:pPr>
      <w:r w:rsidRPr="00AC7F1B">
        <w:t>b) Các đơn vị sự nghiệp công lập; các tổ chức, cá nhân khác có liên quan đến ngân sách địa phương trên địa bàn tỉnh.</w:t>
      </w:r>
    </w:p>
    <w:p w14:paraId="7E3DFBC0" w14:textId="2069AA95" w:rsidR="00604D14" w:rsidRPr="0019520E" w:rsidRDefault="00604D14" w:rsidP="00B74A33">
      <w:pPr>
        <w:spacing w:before="120" w:after="120" w:line="240" w:lineRule="auto"/>
        <w:ind w:firstLine="567"/>
        <w:jc w:val="both"/>
        <w:rPr>
          <w:b/>
          <w:szCs w:val="28"/>
        </w:rPr>
      </w:pPr>
      <w:r w:rsidRPr="0019520E">
        <w:rPr>
          <w:b/>
          <w:szCs w:val="28"/>
        </w:rPr>
        <w:t>I</w:t>
      </w:r>
      <w:r w:rsidR="00B74A33">
        <w:rPr>
          <w:b/>
          <w:szCs w:val="28"/>
        </w:rPr>
        <w:t>V</w:t>
      </w:r>
      <w:r w:rsidRPr="0019520E">
        <w:rPr>
          <w:b/>
          <w:szCs w:val="28"/>
        </w:rPr>
        <w:t xml:space="preserve">. </w:t>
      </w:r>
      <w:r w:rsidR="0004720A">
        <w:rPr>
          <w:b/>
          <w:szCs w:val="28"/>
        </w:rPr>
        <w:t>QUÁ TRÌNH XÂY DỰNG DỰ THẢO NGHỊ QUYẾT</w:t>
      </w:r>
    </w:p>
    <w:p w14:paraId="2AEFFA93" w14:textId="2FD0B092" w:rsidR="00604D14" w:rsidRPr="0019520E" w:rsidRDefault="00604D14" w:rsidP="002730F8">
      <w:pPr>
        <w:spacing w:before="120" w:after="120" w:line="240" w:lineRule="auto"/>
        <w:ind w:firstLine="700"/>
        <w:jc w:val="both"/>
        <w:rPr>
          <w:b/>
          <w:bCs/>
          <w:szCs w:val="28"/>
        </w:rPr>
      </w:pPr>
      <w:r w:rsidRPr="0019520E">
        <w:rPr>
          <w:szCs w:val="28"/>
        </w:rPr>
        <w:t xml:space="preserve">Căn cứ Nghị quyết số 202/2025/QH15 ngày 12/6/2025 của Quốc hội về sắp xếp đơn vị hành chính cấp tỉnh; Nghị quyết số 76/2025/UBTVQH15 ngày 14/4/2025 của Ủy ban Thường vụ Quốc hội về việc sắp xếp đơn vị hành chính </w:t>
      </w:r>
      <w:r w:rsidRPr="0019520E">
        <w:rPr>
          <w:szCs w:val="28"/>
        </w:rPr>
        <w:lastRenderedPageBreak/>
        <w:t xml:space="preserve">năm 2025; Nghị quyết số 1677/NQ-UBTVQH15 ngày 16/6/2025 của Ủy ban Thường vụ Quốc hội khóa XV về việc sắp xếp các đơn vị hành chính cấp xã của tỉnh Quảng Ngãi năm 2025; Sở Tài chính đã xây dựng dự thảo Nghị </w:t>
      </w:r>
      <w:r w:rsidR="003C42A1" w:rsidRPr="00AC7F1B">
        <w:rPr>
          <w:bCs/>
        </w:rPr>
        <w:t>q</w:t>
      </w:r>
      <w:r w:rsidR="003C42A1" w:rsidRPr="00AC7F1B">
        <w:t xml:space="preserve">uy định phân </w:t>
      </w:r>
      <w:r w:rsidR="003C42A1" w:rsidRPr="00AC7F1B">
        <w:rPr>
          <w:szCs w:val="28"/>
        </w:rPr>
        <w:t>cấp nhiệm vụ chi giữa ngân sách cấp tỉnh với ngân sách cấp xã đối với lĩnh vực khoa học, công nghệ, đổi mới sáng tạo và chuyển đổi số</w:t>
      </w:r>
      <w:r w:rsidRPr="0019520E">
        <w:rPr>
          <w:szCs w:val="28"/>
        </w:rPr>
        <w:t xml:space="preserve">, tham mưu UBND tỉnh trình Thường trực HĐND tỉnh tại Tờ trình số </w:t>
      </w:r>
      <w:r w:rsidR="00E13BA2">
        <w:rPr>
          <w:szCs w:val="28"/>
        </w:rPr>
        <w:t>5</w:t>
      </w:r>
      <w:r w:rsidRPr="0019520E">
        <w:rPr>
          <w:szCs w:val="28"/>
        </w:rPr>
        <w:t xml:space="preserve">3/TTr-UBND ngày </w:t>
      </w:r>
      <w:r w:rsidR="00E13BA2">
        <w:rPr>
          <w:szCs w:val="28"/>
        </w:rPr>
        <w:t>30/9</w:t>
      </w:r>
      <w:r w:rsidRPr="0019520E">
        <w:rPr>
          <w:szCs w:val="28"/>
        </w:rPr>
        <w:t xml:space="preserve">/2025 về việc đăng ký xây dựng Nghị quyết </w:t>
      </w:r>
      <w:r w:rsidR="00E13BA2" w:rsidRPr="0019520E">
        <w:rPr>
          <w:szCs w:val="28"/>
        </w:rPr>
        <w:t xml:space="preserve">của HĐND tỉnh ban hành Nghị quyết </w:t>
      </w:r>
      <w:r w:rsidR="00E13BA2" w:rsidRPr="00AC7F1B">
        <w:rPr>
          <w:bCs/>
        </w:rPr>
        <w:t>q</w:t>
      </w:r>
      <w:r w:rsidR="00E13BA2" w:rsidRPr="00AC7F1B">
        <w:t xml:space="preserve">uy định phân </w:t>
      </w:r>
      <w:r w:rsidR="00E13BA2" w:rsidRPr="00AC7F1B">
        <w:rPr>
          <w:szCs w:val="28"/>
        </w:rPr>
        <w:t>cấp nhiệm vụ chi giữa ngân sách cấp tỉnh với ngân sách cấp xã đối với lĩnh vực khoa học, công nghệ, đổi mới sáng tạo và chuyển đổi số</w:t>
      </w:r>
      <w:r>
        <w:rPr>
          <w:szCs w:val="28"/>
        </w:rPr>
        <w:t xml:space="preserve"> </w:t>
      </w:r>
      <w:r w:rsidRPr="0019520E">
        <w:rPr>
          <w:b/>
          <w:bCs/>
          <w:szCs w:val="28"/>
        </w:rPr>
        <w:t>theo trình tự, thủ tục rút gọn.</w:t>
      </w:r>
    </w:p>
    <w:p w14:paraId="01298A68" w14:textId="56F31404" w:rsidR="008B2506" w:rsidRPr="0024732D" w:rsidRDefault="008B2506" w:rsidP="008B2506">
      <w:pPr>
        <w:pStyle w:val="nidungVB"/>
        <w:spacing w:before="120" w:after="0" w:line="240" w:lineRule="auto"/>
        <w:rPr>
          <w:highlight w:val="white"/>
        </w:rPr>
      </w:pPr>
      <w:r w:rsidRPr="0024732D">
        <w:rPr>
          <w:highlight w:val="white"/>
          <w:lang w:val="vi-VN"/>
        </w:rPr>
        <w:t xml:space="preserve">Thực hiện kết luận của Thường trực Hội đồng nhân dân tỉnh tại </w:t>
      </w:r>
      <w:r>
        <w:rPr>
          <w:highlight w:val="white"/>
        </w:rPr>
        <w:t>văn bản</w:t>
      </w:r>
      <w:r w:rsidRPr="0024732D">
        <w:rPr>
          <w:highlight w:val="white"/>
          <w:lang w:val="vi-VN"/>
        </w:rPr>
        <w:t xml:space="preserve"> </w:t>
      </w:r>
      <w:r w:rsidRPr="0024732D">
        <w:rPr>
          <w:lang w:val="vi-VN"/>
        </w:rPr>
        <w:t>số</w:t>
      </w:r>
      <w:r w:rsidRPr="0024732D">
        <w:t xml:space="preserve">  </w:t>
      </w:r>
      <w:r>
        <w:t>119</w:t>
      </w:r>
      <w:r w:rsidRPr="0024732D">
        <w:t>/</w:t>
      </w:r>
      <w:r w:rsidRPr="008E3582">
        <w:rPr>
          <w:lang w:val="vi-VN"/>
        </w:rPr>
        <w:t xml:space="preserve">HĐND-KTNS </w:t>
      </w:r>
      <w:r w:rsidRPr="0024732D">
        <w:rPr>
          <w:lang w:val="vi-VN"/>
        </w:rPr>
        <w:t>ngày</w:t>
      </w:r>
      <w:r>
        <w:t xml:space="preserve"> 08</w:t>
      </w:r>
      <w:r w:rsidRPr="0024732D">
        <w:rPr>
          <w:lang w:val="vi-VN"/>
        </w:rPr>
        <w:t xml:space="preserve"> tháng </w:t>
      </w:r>
      <w:r>
        <w:t xml:space="preserve">10 </w:t>
      </w:r>
      <w:r w:rsidRPr="0024732D">
        <w:rPr>
          <w:lang w:val="vi-VN"/>
        </w:rPr>
        <w:t>năm 202</w:t>
      </w:r>
      <w:r w:rsidRPr="0024732D">
        <w:t>5</w:t>
      </w:r>
      <w:r w:rsidRPr="0024732D">
        <w:rPr>
          <w:lang w:val="vi-VN"/>
        </w:rPr>
        <w:t xml:space="preserve">, Ủy ban nhân dân tỉnh đã giao Sở </w:t>
      </w:r>
      <w:r w:rsidRPr="0024732D">
        <w:rPr>
          <w:highlight w:val="white"/>
          <w:lang w:val="vi-VN"/>
        </w:rPr>
        <w:t xml:space="preserve">Tài chính chủ trì, </w:t>
      </w:r>
      <w:r w:rsidRPr="0024732D">
        <w:rPr>
          <w:highlight w:val="white"/>
        </w:rPr>
        <w:t xml:space="preserve">phối hợp với các đơn vị có liên quan khẩn trương hoàn thiện hồ sơ tham mưu đối với </w:t>
      </w:r>
      <w:r w:rsidRPr="00E8251F">
        <w:rPr>
          <w:i/>
          <w:iCs/>
          <w:highlight w:val="white"/>
        </w:rPr>
        <w:t>“</w:t>
      </w:r>
      <w:r w:rsidRPr="00E8251F">
        <w:rPr>
          <w:i/>
          <w:iCs/>
        </w:rPr>
        <w:t xml:space="preserve">Nghị quyết Quy định </w:t>
      </w:r>
      <w:r w:rsidRPr="00E8251F">
        <w:rPr>
          <w:i/>
          <w:iCs/>
        </w:rPr>
        <w:t>phân cấp nhiệm vụ chi giữa ngân sách cấp tỉnh với ngân sách cấp xã đối với lĩnh vực khoa học, công nghệ, đổi mới sáng tạo và chuyển đổi số</w:t>
      </w:r>
      <w:r w:rsidRPr="00E8251F">
        <w:rPr>
          <w:i/>
          <w:iCs/>
          <w:highlight w:val="white"/>
        </w:rPr>
        <w:t>”</w:t>
      </w:r>
      <w:r w:rsidRPr="00E8251F">
        <w:rPr>
          <w:i/>
          <w:iCs/>
          <w:highlight w:val="white"/>
          <w:lang w:val="vi-VN"/>
        </w:rPr>
        <w:t>;</w:t>
      </w:r>
      <w:r w:rsidRPr="0024732D">
        <w:rPr>
          <w:highlight w:val="white"/>
          <w:lang w:val="vi-VN"/>
        </w:rPr>
        <w:t xml:space="preserve"> </w:t>
      </w:r>
      <w:r w:rsidRPr="0024732D">
        <w:rPr>
          <w:highlight w:val="white"/>
        </w:rPr>
        <w:t xml:space="preserve">tổ chức lấy ý kiến tham gia của các </w:t>
      </w:r>
      <w:r w:rsidRPr="007D291E">
        <w:rPr>
          <w:highlight w:val="white"/>
          <w:lang w:val="vi-VN"/>
        </w:rPr>
        <w:t xml:space="preserve">cơ quan, đơn vị, địa phương </w:t>
      </w:r>
      <w:r w:rsidRPr="0024732D">
        <w:rPr>
          <w:highlight w:val="white"/>
        </w:rPr>
        <w:t xml:space="preserve">và đăng tải nội dung dự thảo Nghị quyết trên Cổng thông tin điện tử của tỉnh để lấy ý kiến tham gia của các đối tượng liên quan; lấy ý kiến thẩm định của Sở Tư pháp để hoàn chỉnh nội dung. Đồng thời, tổ chức lấy ý kiến thành viên Ủy ban nhân dân tỉnh theo quy định để làm cơ sở trình Hội đồng nhân dân tỉnh. </w:t>
      </w:r>
    </w:p>
    <w:p w14:paraId="31AF5DEC" w14:textId="77777777" w:rsidR="008B2506" w:rsidRPr="0024732D" w:rsidRDefault="008B2506" w:rsidP="008B2506">
      <w:pPr>
        <w:pStyle w:val="nidungVB"/>
        <w:spacing w:before="120" w:after="0" w:line="240" w:lineRule="auto"/>
        <w:rPr>
          <w:highlight w:val="white"/>
        </w:rPr>
      </w:pPr>
      <w:r w:rsidRPr="0024732D">
        <w:rPr>
          <w:highlight w:val="white"/>
        </w:rPr>
        <w:t>Đến nay, việc xây dựng dự thảo Nghị quyết được thực hiện đảm bảo trình tự, thủ tục theo quy định tại Luật Ban hành văn bản quy phạm pháp luật và các văn bản pháp luật liên quan.</w:t>
      </w:r>
    </w:p>
    <w:p w14:paraId="4D3FF75B" w14:textId="008FCDD8" w:rsidR="00604D14" w:rsidRPr="0019520E" w:rsidRDefault="00604D14" w:rsidP="002730F8">
      <w:pPr>
        <w:spacing w:before="120" w:after="120" w:line="240" w:lineRule="auto"/>
        <w:ind w:firstLine="700"/>
        <w:jc w:val="both"/>
        <w:rPr>
          <w:b/>
          <w:bCs/>
        </w:rPr>
      </w:pPr>
      <w:r w:rsidRPr="0019520E">
        <w:rPr>
          <w:b/>
          <w:bCs/>
        </w:rPr>
        <w:t xml:space="preserve">V. </w:t>
      </w:r>
      <w:r w:rsidR="00920427" w:rsidRPr="0024732D">
        <w:rPr>
          <w:b/>
          <w:highlight w:val="white"/>
          <w:lang w:val="vi-VN"/>
        </w:rPr>
        <w:t xml:space="preserve">BỐ CỤC VÀ NỘI DUNG CƠ BẢN CỦA </w:t>
      </w:r>
      <w:r w:rsidR="00920427">
        <w:rPr>
          <w:b/>
          <w:highlight w:val="white"/>
        </w:rPr>
        <w:t xml:space="preserve">DỰ THẢO </w:t>
      </w:r>
      <w:r w:rsidR="00920427" w:rsidRPr="0024732D">
        <w:rPr>
          <w:b/>
          <w:highlight w:val="white"/>
          <w:lang w:val="vi-VN"/>
        </w:rPr>
        <w:t>NGHỊ QUYẾT</w:t>
      </w:r>
    </w:p>
    <w:p w14:paraId="1D38B02C" w14:textId="4682E620" w:rsidR="0003371C" w:rsidRPr="006B16D6" w:rsidRDefault="0003371C" w:rsidP="0003371C">
      <w:pPr>
        <w:spacing w:before="120"/>
        <w:ind w:firstLine="709"/>
        <w:jc w:val="both"/>
        <w:rPr>
          <w:szCs w:val="28"/>
        </w:rPr>
      </w:pPr>
      <w:r>
        <w:rPr>
          <w:b/>
          <w:szCs w:val="28"/>
        </w:rPr>
        <w:t>1</w:t>
      </w:r>
      <w:r w:rsidRPr="006B16D6">
        <w:rPr>
          <w:b/>
          <w:szCs w:val="28"/>
        </w:rPr>
        <w:t xml:space="preserve">. </w:t>
      </w:r>
      <w:r w:rsidRPr="006B16D6">
        <w:rPr>
          <w:szCs w:val="28"/>
        </w:rPr>
        <w:t>Bố cục</w:t>
      </w:r>
      <w:r w:rsidRPr="006B16D6">
        <w:rPr>
          <w:b/>
          <w:bCs/>
          <w:szCs w:val="28"/>
        </w:rPr>
        <w:t xml:space="preserve">: </w:t>
      </w:r>
      <w:r w:rsidRPr="006B16D6">
        <w:rPr>
          <w:szCs w:val="28"/>
        </w:rPr>
        <w:t>Dự thảo Nghị quyết gồm 0</w:t>
      </w:r>
      <w:r w:rsidR="00E8251F">
        <w:rPr>
          <w:szCs w:val="28"/>
        </w:rPr>
        <w:t>5</w:t>
      </w:r>
      <w:r w:rsidRPr="006B16D6">
        <w:rPr>
          <w:szCs w:val="28"/>
        </w:rPr>
        <w:t xml:space="preserve"> Điều</w:t>
      </w:r>
    </w:p>
    <w:p w14:paraId="22CB5264" w14:textId="77777777" w:rsidR="0003371C" w:rsidRPr="006B16D6" w:rsidRDefault="0003371C" w:rsidP="0003371C">
      <w:pPr>
        <w:spacing w:before="120"/>
        <w:ind w:right="-28" w:firstLine="709"/>
        <w:jc w:val="both"/>
        <w:rPr>
          <w:b/>
          <w:bCs/>
          <w:szCs w:val="28"/>
          <w:lang w:val="nb-NO"/>
        </w:rPr>
      </w:pPr>
      <w:bookmarkStart w:id="0" w:name="_Hlk197630331"/>
      <w:r>
        <w:rPr>
          <w:b/>
          <w:bCs/>
          <w:szCs w:val="28"/>
          <w:lang w:val="nb-NO"/>
        </w:rPr>
        <w:t>2</w:t>
      </w:r>
      <w:r w:rsidRPr="006B16D6">
        <w:rPr>
          <w:b/>
          <w:bCs/>
          <w:szCs w:val="28"/>
          <w:lang w:val="nb-NO"/>
        </w:rPr>
        <w:t xml:space="preserve">. </w:t>
      </w:r>
      <w:r w:rsidRPr="006B16D6">
        <w:rPr>
          <w:bCs/>
          <w:szCs w:val="28"/>
          <w:lang w:val="nb-NO"/>
        </w:rPr>
        <w:t>Nội dung cơ bản của dự thảo Nghị quyết</w:t>
      </w:r>
    </w:p>
    <w:bookmarkEnd w:id="0"/>
    <w:p w14:paraId="6D2487F6" w14:textId="5525B834" w:rsidR="0003371C" w:rsidRPr="000104D0" w:rsidRDefault="0003371C" w:rsidP="0003371C">
      <w:pPr>
        <w:spacing w:before="120"/>
        <w:ind w:firstLine="720"/>
        <w:jc w:val="both"/>
        <w:rPr>
          <w:szCs w:val="28"/>
        </w:rPr>
      </w:pPr>
      <w:r w:rsidRPr="000104D0">
        <w:rPr>
          <w:szCs w:val="28"/>
        </w:rPr>
        <w:t xml:space="preserve">Nội dung cơ bản của dự thảo Nghị quyết Quy định </w:t>
      </w:r>
      <w:r w:rsidR="00E8251F" w:rsidRPr="00E8251F">
        <w:t xml:space="preserve">phân </w:t>
      </w:r>
      <w:r w:rsidR="00E8251F" w:rsidRPr="00E8251F">
        <w:rPr>
          <w:szCs w:val="28"/>
        </w:rPr>
        <w:t>cấp nhiệm vụ chi giữa ngân sách cấp tỉnh với ngân sách cấp xã đối với lĩnh vực khoa học, công nghệ, đổi mới sáng tạo và chuyển đổi số</w:t>
      </w:r>
      <w:r w:rsidRPr="00E8251F">
        <w:rPr>
          <w:szCs w:val="28"/>
        </w:rPr>
        <w:t>,</w:t>
      </w:r>
      <w:r w:rsidRPr="000104D0">
        <w:rPr>
          <w:szCs w:val="28"/>
        </w:rPr>
        <w:t xml:space="preserve"> cụ thể như sau:</w:t>
      </w:r>
    </w:p>
    <w:p w14:paraId="2D80ED11" w14:textId="1C658CE4" w:rsidR="0003371C" w:rsidRPr="004747E1" w:rsidRDefault="0003371C" w:rsidP="0003371C">
      <w:pPr>
        <w:pStyle w:val="NormalWeb"/>
        <w:spacing w:before="120" w:beforeAutospacing="0" w:after="0" w:afterAutospacing="0"/>
        <w:ind w:firstLine="710"/>
        <w:jc w:val="both"/>
        <w:rPr>
          <w:sz w:val="28"/>
          <w:szCs w:val="28"/>
        </w:rPr>
      </w:pPr>
      <w:r>
        <w:rPr>
          <w:sz w:val="28"/>
          <w:szCs w:val="28"/>
        </w:rPr>
        <w:t xml:space="preserve">a) </w:t>
      </w:r>
      <w:r w:rsidRPr="004747E1">
        <w:rPr>
          <w:sz w:val="28"/>
          <w:szCs w:val="28"/>
        </w:rPr>
        <w:t xml:space="preserve">Điều 1: </w:t>
      </w:r>
      <w:r w:rsidR="004747E1" w:rsidRPr="004747E1">
        <w:rPr>
          <w:color w:val="000000"/>
          <w:sz w:val="28"/>
          <w:szCs w:val="28"/>
        </w:rPr>
        <w:t>Phạm vi điều chỉnh và đối tượng áp dụng</w:t>
      </w:r>
      <w:r w:rsidRPr="004747E1">
        <w:rPr>
          <w:sz w:val="28"/>
          <w:szCs w:val="28"/>
        </w:rPr>
        <w:t>.</w:t>
      </w:r>
    </w:p>
    <w:p w14:paraId="46137307" w14:textId="06199419" w:rsidR="0003371C" w:rsidRPr="004747E1" w:rsidRDefault="0003371C" w:rsidP="0003371C">
      <w:pPr>
        <w:pStyle w:val="NormalWeb"/>
        <w:spacing w:before="120" w:beforeAutospacing="0" w:after="0" w:afterAutospacing="0"/>
        <w:ind w:firstLine="710"/>
        <w:jc w:val="both"/>
        <w:rPr>
          <w:color w:val="000000"/>
          <w:sz w:val="28"/>
          <w:szCs w:val="28"/>
        </w:rPr>
      </w:pPr>
      <w:r w:rsidRPr="004747E1">
        <w:rPr>
          <w:sz w:val="28"/>
          <w:szCs w:val="28"/>
        </w:rPr>
        <w:t xml:space="preserve">b) Điều 2: </w:t>
      </w:r>
      <w:bookmarkStart w:id="1" w:name="_Hlk197630398"/>
      <w:r w:rsidR="004747E1" w:rsidRPr="004747E1">
        <w:rPr>
          <w:sz w:val="28"/>
          <w:szCs w:val="28"/>
        </w:rPr>
        <w:t>Nhiệm vụ chi ngân sách cấp tỉnh đối với lĩnh vực khoa học, công nghệ, đổi mới sáng tạo và chuyển đổi số</w:t>
      </w:r>
      <w:r w:rsidRPr="004747E1">
        <w:rPr>
          <w:sz w:val="28"/>
          <w:szCs w:val="28"/>
        </w:rPr>
        <w:t>.</w:t>
      </w:r>
    </w:p>
    <w:bookmarkEnd w:id="1"/>
    <w:p w14:paraId="7330A2D0" w14:textId="0EA29D06" w:rsidR="0003371C" w:rsidRPr="004747E1" w:rsidRDefault="0003371C" w:rsidP="0003371C">
      <w:pPr>
        <w:spacing w:before="120"/>
        <w:ind w:firstLine="720"/>
        <w:jc w:val="both"/>
        <w:rPr>
          <w:szCs w:val="28"/>
        </w:rPr>
      </w:pPr>
      <w:r w:rsidRPr="004747E1">
        <w:rPr>
          <w:szCs w:val="28"/>
        </w:rPr>
        <w:t xml:space="preserve">c) Điều 3: </w:t>
      </w:r>
      <w:r w:rsidR="004747E1" w:rsidRPr="004747E1">
        <w:rPr>
          <w:szCs w:val="28"/>
        </w:rPr>
        <w:t>Nhiệm vụ chi ngân sách cấp xã đối với lĩnh vực khoa học, công nghệ, đổi mới sáng tạo và chuyển đổi số</w:t>
      </w:r>
      <w:r w:rsidRPr="004747E1">
        <w:rPr>
          <w:szCs w:val="28"/>
        </w:rPr>
        <w:t>.</w:t>
      </w:r>
    </w:p>
    <w:p w14:paraId="14559F46" w14:textId="0D3AA1B3" w:rsidR="004747E1" w:rsidRPr="004747E1" w:rsidRDefault="004747E1" w:rsidP="0003371C">
      <w:pPr>
        <w:spacing w:before="120"/>
        <w:ind w:firstLine="720"/>
        <w:jc w:val="both"/>
        <w:rPr>
          <w:szCs w:val="28"/>
        </w:rPr>
      </w:pPr>
      <w:r w:rsidRPr="004747E1">
        <w:rPr>
          <w:szCs w:val="28"/>
        </w:rPr>
        <w:t>d)</w:t>
      </w:r>
      <w:r w:rsidRPr="004747E1">
        <w:rPr>
          <w:szCs w:val="28"/>
          <w:lang w:val="nl-NL"/>
        </w:rPr>
        <w:t xml:space="preserve"> Điều 4: Trách nhiệm tổ chức thực hiện</w:t>
      </w:r>
      <w:r>
        <w:rPr>
          <w:szCs w:val="28"/>
          <w:lang w:val="nl-NL"/>
        </w:rPr>
        <w:t>.</w:t>
      </w:r>
    </w:p>
    <w:p w14:paraId="0610DC67" w14:textId="1D59F844" w:rsidR="004747E1" w:rsidRPr="004747E1" w:rsidRDefault="004747E1" w:rsidP="004747E1">
      <w:pPr>
        <w:widowControl w:val="0"/>
        <w:spacing w:after="120"/>
        <w:ind w:firstLine="720"/>
        <w:jc w:val="both"/>
        <w:rPr>
          <w:szCs w:val="28"/>
        </w:rPr>
      </w:pPr>
      <w:r w:rsidRPr="004747E1">
        <w:rPr>
          <w:szCs w:val="28"/>
        </w:rPr>
        <w:t xml:space="preserve">e) </w:t>
      </w:r>
      <w:bookmarkStart w:id="2" w:name="dieu_8"/>
      <w:r w:rsidRPr="004747E1">
        <w:rPr>
          <w:color w:val="000000"/>
          <w:szCs w:val="28"/>
        </w:rPr>
        <w:t>Điều 5. Điều khoản thi hành</w:t>
      </w:r>
      <w:bookmarkEnd w:id="2"/>
      <w:r>
        <w:rPr>
          <w:color w:val="000000"/>
          <w:szCs w:val="28"/>
        </w:rPr>
        <w:t>.</w:t>
      </w:r>
    </w:p>
    <w:p w14:paraId="34646F6F" w14:textId="77777777" w:rsidR="0003371C" w:rsidRDefault="00604D14" w:rsidP="0003371C">
      <w:pPr>
        <w:spacing w:before="120" w:after="120" w:line="240" w:lineRule="auto"/>
        <w:ind w:firstLine="720"/>
        <w:jc w:val="both"/>
        <w:rPr>
          <w:color w:val="000000"/>
          <w:szCs w:val="28"/>
        </w:rPr>
      </w:pPr>
      <w:r w:rsidRPr="0019520E">
        <w:rPr>
          <w:b/>
          <w:bCs/>
          <w:color w:val="000000"/>
          <w:szCs w:val="28"/>
        </w:rPr>
        <w:t>V</w:t>
      </w:r>
      <w:r w:rsidR="00B74A33">
        <w:rPr>
          <w:b/>
          <w:bCs/>
          <w:color w:val="000000"/>
          <w:szCs w:val="28"/>
        </w:rPr>
        <w:t>I</w:t>
      </w:r>
      <w:r w:rsidRPr="0019520E">
        <w:rPr>
          <w:b/>
          <w:bCs/>
          <w:color w:val="000000"/>
          <w:szCs w:val="28"/>
        </w:rPr>
        <w:t>.</w:t>
      </w:r>
      <w:r w:rsidRPr="0019520E">
        <w:rPr>
          <w:b/>
          <w:szCs w:val="28"/>
        </w:rPr>
        <w:t xml:space="preserve"> </w:t>
      </w:r>
      <w:r w:rsidR="0003371C" w:rsidRPr="0024732D">
        <w:rPr>
          <w:b/>
          <w:bCs/>
        </w:rPr>
        <w:t>DỰ KIẾN NGUỒN LỰC, ĐIỀU KIỆN BẢO ĐẢM CHO VIỆC THI HÀNH NGHỊ QUYẾT SAU KHI ĐƯỢC THÔNG QUA</w:t>
      </w:r>
      <w:r w:rsidR="0003371C" w:rsidRPr="0019520E">
        <w:rPr>
          <w:color w:val="000000"/>
          <w:szCs w:val="28"/>
        </w:rPr>
        <w:t xml:space="preserve"> </w:t>
      </w:r>
    </w:p>
    <w:p w14:paraId="2D86D57B" w14:textId="3BF1555C" w:rsidR="00604D14" w:rsidRDefault="00604D14" w:rsidP="0003371C">
      <w:pPr>
        <w:spacing w:before="120" w:after="120" w:line="240" w:lineRule="auto"/>
        <w:ind w:firstLine="720"/>
        <w:jc w:val="both"/>
        <w:rPr>
          <w:color w:val="000000"/>
          <w:szCs w:val="28"/>
        </w:rPr>
      </w:pPr>
      <w:r w:rsidRPr="0019520E">
        <w:rPr>
          <w:color w:val="000000"/>
          <w:szCs w:val="28"/>
        </w:rPr>
        <w:lastRenderedPageBreak/>
        <w:t>Nguồn kinh phí thực hiện nhiệm vụ thuộc cấp nào thì ngân sách cấp đó tự đảm bảo và được bố trí trong dự toán chi thường xuyên ngân sách hằng năm của các cấp ngân sách.</w:t>
      </w:r>
    </w:p>
    <w:p w14:paraId="4DB45CCE" w14:textId="740FB05C" w:rsidR="004C683B" w:rsidRPr="0019520E" w:rsidRDefault="004C683B" w:rsidP="004C683B">
      <w:pPr>
        <w:spacing w:before="120" w:after="120" w:line="240" w:lineRule="auto"/>
        <w:ind w:firstLine="720"/>
        <w:jc w:val="both"/>
        <w:rPr>
          <w:color w:val="000000"/>
          <w:szCs w:val="28"/>
        </w:rPr>
      </w:pPr>
      <w:r w:rsidRPr="004C683B">
        <w:rPr>
          <w:color w:val="000000"/>
          <w:szCs w:val="28"/>
        </w:rPr>
        <w:t>Sau khi được HĐND tỉnh thông qua Nghị quyết, Sở Tài chính tham mưu</w:t>
      </w:r>
      <w:r>
        <w:rPr>
          <w:color w:val="000000"/>
          <w:szCs w:val="28"/>
        </w:rPr>
        <w:t xml:space="preserve"> </w:t>
      </w:r>
      <w:r w:rsidRPr="004C683B">
        <w:rPr>
          <w:color w:val="000000"/>
          <w:szCs w:val="28"/>
        </w:rPr>
        <w:t>cho UBND tỉnh triển khai thực hiện trên địa bàn tỉnh theo đúng quy định</w:t>
      </w:r>
      <w:r>
        <w:rPr>
          <w:color w:val="000000"/>
          <w:szCs w:val="28"/>
        </w:rPr>
        <w:t>.</w:t>
      </w:r>
    </w:p>
    <w:p w14:paraId="6CA9E56F" w14:textId="18B7F7FB" w:rsidR="00604D14" w:rsidRPr="0019520E" w:rsidRDefault="00604D14" w:rsidP="002730F8">
      <w:pPr>
        <w:spacing w:before="120" w:after="120" w:line="240" w:lineRule="auto"/>
        <w:ind w:firstLine="720"/>
        <w:jc w:val="both"/>
        <w:rPr>
          <w:szCs w:val="28"/>
        </w:rPr>
      </w:pPr>
      <w:r w:rsidRPr="0019520E">
        <w:rPr>
          <w:szCs w:val="28"/>
        </w:rPr>
        <w:t xml:space="preserve">Trên đây là Tờ trình đề nghị ban hành Nghị quyết của HĐND tỉnh </w:t>
      </w:r>
      <w:r w:rsidR="004C683B" w:rsidRPr="00AC7F1B">
        <w:rPr>
          <w:bCs/>
        </w:rPr>
        <w:t>q</w:t>
      </w:r>
      <w:r w:rsidR="004C683B" w:rsidRPr="00AC7F1B">
        <w:t xml:space="preserve">uy định phân </w:t>
      </w:r>
      <w:r w:rsidR="004C683B" w:rsidRPr="00AC7F1B">
        <w:rPr>
          <w:szCs w:val="28"/>
        </w:rPr>
        <w:t>cấp nhiệm vụ chi giữa ngân sách cấp tỉnh với ngân sách cấp xã đối với lĩnh vực khoa học, công nghệ, đổi mới sáng tạo và chuyển đổi số</w:t>
      </w:r>
      <w:r w:rsidRPr="0019520E">
        <w:rPr>
          <w:szCs w:val="28"/>
        </w:rPr>
        <w:t>, UBND tỉnh kính trình HĐND tỉnh xem xét, quyết định./.</w:t>
      </w:r>
    </w:p>
    <w:p w14:paraId="3FF6B4E0" w14:textId="5A82FCA7" w:rsidR="00604D14" w:rsidRPr="0019520E" w:rsidRDefault="00C4463B" w:rsidP="00C4463B">
      <w:pPr>
        <w:spacing w:before="120" w:after="120" w:line="240" w:lineRule="auto"/>
        <w:ind w:left="720" w:firstLine="720"/>
        <w:jc w:val="both"/>
        <w:rPr>
          <w:i/>
          <w:iCs/>
          <w:szCs w:val="28"/>
        </w:rPr>
      </w:pPr>
      <w:r w:rsidRPr="00C4463B">
        <w:rPr>
          <w:i/>
          <w:iCs/>
          <w:szCs w:val="28"/>
        </w:rPr>
        <w:t>(Kèm theo dự thảo Nghị quyết của HĐND tỉnh)</w:t>
      </w:r>
    </w:p>
    <w:tbl>
      <w:tblPr>
        <w:tblW w:w="9098" w:type="dxa"/>
        <w:tblInd w:w="82" w:type="dxa"/>
        <w:tblLayout w:type="fixed"/>
        <w:tblLook w:val="0000" w:firstRow="0" w:lastRow="0" w:firstColumn="0" w:lastColumn="0" w:noHBand="0" w:noVBand="0"/>
      </w:tblPr>
      <w:tblGrid>
        <w:gridCol w:w="4279"/>
        <w:gridCol w:w="4819"/>
      </w:tblGrid>
      <w:tr w:rsidR="000E292E" w:rsidRPr="00AC7F1B" w14:paraId="09A15489" w14:textId="77777777" w:rsidTr="000E292E">
        <w:trPr>
          <w:trHeight w:val="276"/>
        </w:trPr>
        <w:tc>
          <w:tcPr>
            <w:tcW w:w="4279" w:type="dxa"/>
            <w:vMerge w:val="restart"/>
          </w:tcPr>
          <w:p w14:paraId="49C5626A" w14:textId="6B315FE3" w:rsidR="000E292E" w:rsidRPr="00AC7F1B" w:rsidRDefault="000E292E" w:rsidP="000E292E">
            <w:pPr>
              <w:spacing w:after="0" w:line="240" w:lineRule="auto"/>
              <w:ind w:left="-81"/>
              <w:rPr>
                <w:sz w:val="24"/>
                <w:szCs w:val="24"/>
                <w:lang w:val="nl-NL"/>
              </w:rPr>
            </w:pPr>
            <w:r w:rsidRPr="00AC7F1B">
              <w:rPr>
                <w:b/>
                <w:i/>
                <w:sz w:val="24"/>
                <w:szCs w:val="24"/>
                <w:lang w:val="nl-NL"/>
              </w:rPr>
              <w:t>Nơi nhận:</w:t>
            </w:r>
          </w:p>
          <w:p w14:paraId="55AB6758" w14:textId="77777777" w:rsidR="001058C6" w:rsidRDefault="000E292E" w:rsidP="001058C6">
            <w:pPr>
              <w:spacing w:after="0" w:line="240" w:lineRule="auto"/>
              <w:ind w:left="-81"/>
              <w:rPr>
                <w:sz w:val="22"/>
                <w:lang w:val="nl-NL"/>
              </w:rPr>
            </w:pPr>
            <w:r w:rsidRPr="00AC7F1B">
              <w:rPr>
                <w:sz w:val="22"/>
                <w:lang w:val="nl-NL"/>
              </w:rPr>
              <w:t>- Như trên;</w:t>
            </w:r>
          </w:p>
          <w:p w14:paraId="6D9A6B53" w14:textId="77777777" w:rsidR="001058C6" w:rsidRDefault="001058C6" w:rsidP="001058C6">
            <w:pPr>
              <w:spacing w:after="0" w:line="240" w:lineRule="auto"/>
              <w:ind w:left="-81"/>
              <w:rPr>
                <w:sz w:val="22"/>
                <w:lang w:val="nl-NL"/>
              </w:rPr>
            </w:pPr>
            <w:r>
              <w:rPr>
                <w:sz w:val="22"/>
                <w:lang w:val="nl-NL"/>
              </w:rPr>
              <w:t>- Thường trực Tỉnh ủy;</w:t>
            </w:r>
          </w:p>
          <w:p w14:paraId="6AF4ADBF" w14:textId="77777777" w:rsidR="001058C6" w:rsidRDefault="001058C6" w:rsidP="001058C6">
            <w:pPr>
              <w:spacing w:after="0" w:line="240" w:lineRule="auto"/>
              <w:ind w:left="-81"/>
              <w:rPr>
                <w:sz w:val="22"/>
                <w:lang w:val="nl-NL"/>
              </w:rPr>
            </w:pPr>
            <w:r>
              <w:rPr>
                <w:sz w:val="22"/>
                <w:lang w:val="nl-NL"/>
              </w:rPr>
              <w:t>- CT, PCT UBND tỉnh;</w:t>
            </w:r>
          </w:p>
          <w:p w14:paraId="1F441B12" w14:textId="77777777" w:rsidR="001058C6" w:rsidRDefault="001058C6" w:rsidP="001058C6">
            <w:pPr>
              <w:spacing w:after="0" w:line="240" w:lineRule="auto"/>
              <w:ind w:left="-81"/>
              <w:rPr>
                <w:sz w:val="22"/>
                <w:lang w:val="nl-NL"/>
              </w:rPr>
            </w:pPr>
            <w:r>
              <w:rPr>
                <w:sz w:val="22"/>
                <w:lang w:val="nl-NL"/>
              </w:rPr>
              <w:t>- Các Ban: Pháp chế, Kinh tế - Ngân sách HĐND tỉnh;</w:t>
            </w:r>
          </w:p>
          <w:p w14:paraId="67A6C3E4" w14:textId="77777777" w:rsidR="001058C6" w:rsidRDefault="001058C6" w:rsidP="001058C6">
            <w:pPr>
              <w:spacing w:after="0" w:line="240" w:lineRule="auto"/>
              <w:ind w:left="-81"/>
              <w:rPr>
                <w:sz w:val="22"/>
                <w:lang w:val="nl-NL"/>
              </w:rPr>
            </w:pPr>
            <w:r>
              <w:rPr>
                <w:sz w:val="22"/>
                <w:lang w:val="nl-NL"/>
              </w:rPr>
              <w:t>- Các Sở: Tài chính, Tư pháp, Nội vụ, Khoa học và Công nghệ;</w:t>
            </w:r>
          </w:p>
          <w:p w14:paraId="6EC6567A" w14:textId="77777777" w:rsidR="001058C6" w:rsidRDefault="001058C6" w:rsidP="001058C6">
            <w:pPr>
              <w:spacing w:after="0" w:line="240" w:lineRule="auto"/>
              <w:ind w:left="-81"/>
              <w:rPr>
                <w:sz w:val="22"/>
                <w:lang w:val="nl-NL"/>
              </w:rPr>
            </w:pPr>
            <w:r>
              <w:rPr>
                <w:sz w:val="22"/>
                <w:lang w:val="nl-NL"/>
              </w:rPr>
              <w:t>- Đại biểu HĐND tỉnh;</w:t>
            </w:r>
          </w:p>
          <w:p w14:paraId="0DFE6C99" w14:textId="77B8273D" w:rsidR="001058C6" w:rsidRPr="00613315" w:rsidRDefault="001058C6" w:rsidP="001058C6">
            <w:pPr>
              <w:spacing w:after="0" w:line="240" w:lineRule="auto"/>
              <w:ind w:left="-81"/>
              <w:rPr>
                <w:sz w:val="22"/>
                <w:lang w:val="nl-NL"/>
              </w:rPr>
            </w:pPr>
            <w:r>
              <w:rPr>
                <w:sz w:val="22"/>
                <w:lang w:val="nl-NL"/>
              </w:rPr>
              <w:t>- VPUB: CVP, PCVP, KTTH;</w:t>
            </w:r>
          </w:p>
          <w:p w14:paraId="408EE334" w14:textId="7498DB08" w:rsidR="000E292E" w:rsidRPr="00AC7F1B" w:rsidRDefault="001058C6" w:rsidP="001058C6">
            <w:pPr>
              <w:spacing w:after="0" w:line="240" w:lineRule="auto"/>
              <w:ind w:left="-81"/>
              <w:rPr>
                <w:sz w:val="24"/>
                <w:szCs w:val="24"/>
                <w:lang w:val="nl-NL"/>
              </w:rPr>
            </w:pPr>
            <w:r w:rsidRPr="00613315">
              <w:rPr>
                <w:sz w:val="22"/>
                <w:lang w:val="nl-NL"/>
              </w:rPr>
              <w:t>- Lưu</w:t>
            </w:r>
            <w:r>
              <w:rPr>
                <w:sz w:val="22"/>
                <w:lang w:val="nl-NL"/>
              </w:rPr>
              <w:t>:</w:t>
            </w:r>
            <w:r w:rsidRPr="00613315">
              <w:rPr>
                <w:sz w:val="22"/>
                <w:lang w:val="nl-NL"/>
              </w:rPr>
              <w:t xml:space="preserve"> VT.</w:t>
            </w:r>
          </w:p>
        </w:tc>
        <w:tc>
          <w:tcPr>
            <w:tcW w:w="4819" w:type="dxa"/>
            <w:vMerge w:val="restart"/>
          </w:tcPr>
          <w:p w14:paraId="348B7674" w14:textId="673998C9" w:rsidR="000E292E" w:rsidRPr="00AC7F1B" w:rsidRDefault="000E292E" w:rsidP="003934E5">
            <w:pPr>
              <w:pStyle w:val="Heading1"/>
              <w:rPr>
                <w:rFonts w:ascii="Times New Roman" w:hAnsi="Times New Roman"/>
                <w:sz w:val="28"/>
                <w:szCs w:val="28"/>
                <w:lang w:val="nl-NL"/>
              </w:rPr>
            </w:pPr>
            <w:r w:rsidRPr="00AC7F1B">
              <w:rPr>
                <w:rFonts w:ascii="Times New Roman" w:hAnsi="Times New Roman"/>
                <w:sz w:val="28"/>
                <w:szCs w:val="28"/>
                <w:lang w:val="nl-NL"/>
              </w:rPr>
              <w:t>TM. ỦY BAN NHÂN DÂN</w:t>
            </w:r>
          </w:p>
          <w:p w14:paraId="654BFD35" w14:textId="0C643973" w:rsidR="000E292E" w:rsidRPr="00AC7F1B" w:rsidRDefault="000E292E" w:rsidP="003934E5">
            <w:pPr>
              <w:spacing w:after="0" w:line="240" w:lineRule="auto"/>
              <w:jc w:val="center"/>
              <w:rPr>
                <w:b/>
                <w:szCs w:val="28"/>
                <w:lang w:val="nl-NL"/>
              </w:rPr>
            </w:pPr>
            <w:r w:rsidRPr="00AC7F1B">
              <w:rPr>
                <w:b/>
                <w:szCs w:val="28"/>
                <w:lang w:val="nl-NL"/>
              </w:rPr>
              <w:t>KT. CHỦ TỊCH</w:t>
            </w:r>
          </w:p>
          <w:p w14:paraId="2F3DB585" w14:textId="442D31E4" w:rsidR="000E292E" w:rsidRPr="00AC7F1B" w:rsidRDefault="000E292E" w:rsidP="003934E5">
            <w:pPr>
              <w:spacing w:after="0" w:line="240" w:lineRule="auto"/>
              <w:jc w:val="center"/>
              <w:rPr>
                <w:b/>
                <w:bCs/>
                <w:szCs w:val="28"/>
                <w:lang w:val="nl-NL"/>
              </w:rPr>
            </w:pPr>
            <w:r w:rsidRPr="00AC7F1B">
              <w:rPr>
                <w:b/>
                <w:bCs/>
                <w:szCs w:val="28"/>
                <w:lang w:val="nl-NL"/>
              </w:rPr>
              <w:t>PHÓ CHỦ TỊCH</w:t>
            </w:r>
          </w:p>
          <w:p w14:paraId="6D696BEE" w14:textId="77777777" w:rsidR="000E292E" w:rsidRPr="00AC7F1B" w:rsidRDefault="000E292E" w:rsidP="003934E5">
            <w:pPr>
              <w:spacing w:after="0" w:line="240" w:lineRule="auto"/>
              <w:jc w:val="center"/>
              <w:rPr>
                <w:szCs w:val="28"/>
                <w:lang w:val="nl-NL"/>
              </w:rPr>
            </w:pPr>
          </w:p>
          <w:p w14:paraId="21511469" w14:textId="77777777" w:rsidR="00AC7F1B" w:rsidRPr="00AC7F1B" w:rsidRDefault="00AC7F1B" w:rsidP="003934E5">
            <w:pPr>
              <w:spacing w:after="0" w:line="240" w:lineRule="auto"/>
              <w:jc w:val="center"/>
              <w:rPr>
                <w:szCs w:val="28"/>
                <w:lang w:val="nl-NL"/>
              </w:rPr>
            </w:pPr>
          </w:p>
          <w:p w14:paraId="005E87A5" w14:textId="77777777" w:rsidR="000E292E" w:rsidRPr="00AC7F1B" w:rsidRDefault="000E292E" w:rsidP="003934E5">
            <w:pPr>
              <w:spacing w:after="0" w:line="240" w:lineRule="auto"/>
              <w:jc w:val="center"/>
              <w:rPr>
                <w:szCs w:val="28"/>
                <w:lang w:val="nl-NL"/>
              </w:rPr>
            </w:pPr>
          </w:p>
          <w:p w14:paraId="458673EC" w14:textId="77777777" w:rsidR="000E292E" w:rsidRPr="00AC7F1B" w:rsidRDefault="000E292E" w:rsidP="003934E5">
            <w:pPr>
              <w:spacing w:after="0" w:line="240" w:lineRule="auto"/>
              <w:jc w:val="center"/>
              <w:rPr>
                <w:szCs w:val="28"/>
                <w:lang w:val="nl-NL"/>
              </w:rPr>
            </w:pPr>
          </w:p>
          <w:p w14:paraId="5219FA4E" w14:textId="77777777" w:rsidR="000E292E" w:rsidRPr="00AC7F1B" w:rsidRDefault="000E292E" w:rsidP="003934E5">
            <w:pPr>
              <w:spacing w:after="0" w:line="240" w:lineRule="auto"/>
              <w:jc w:val="center"/>
              <w:rPr>
                <w:szCs w:val="28"/>
                <w:lang w:val="nl-NL"/>
              </w:rPr>
            </w:pPr>
          </w:p>
          <w:p w14:paraId="0D3371CC" w14:textId="6BC6F1E8" w:rsidR="000E292E" w:rsidRPr="00AC7F1B" w:rsidRDefault="000E292E" w:rsidP="009E30E4">
            <w:pPr>
              <w:spacing w:after="0" w:line="240" w:lineRule="auto"/>
              <w:jc w:val="center"/>
              <w:rPr>
                <w:szCs w:val="28"/>
                <w:lang w:val="nl-NL"/>
              </w:rPr>
            </w:pPr>
            <w:r w:rsidRPr="00AC7F1B">
              <w:rPr>
                <w:b/>
                <w:bCs/>
                <w:szCs w:val="28"/>
                <w:lang w:val="nl-NL"/>
              </w:rPr>
              <w:t>Nguyễn Ngọc Sâm</w:t>
            </w:r>
          </w:p>
        </w:tc>
      </w:tr>
      <w:tr w:rsidR="000E292E" w:rsidRPr="00AC7F1B" w14:paraId="7C41A889" w14:textId="77777777" w:rsidTr="000E292E">
        <w:trPr>
          <w:trHeight w:val="2346"/>
        </w:trPr>
        <w:tc>
          <w:tcPr>
            <w:tcW w:w="4279" w:type="dxa"/>
            <w:vMerge/>
          </w:tcPr>
          <w:p w14:paraId="770FEBB4" w14:textId="6C09A9D6" w:rsidR="000E292E" w:rsidRPr="00AC7F1B" w:rsidRDefault="000E292E" w:rsidP="00AA2072">
            <w:pPr>
              <w:spacing w:after="0" w:line="240" w:lineRule="auto"/>
              <w:rPr>
                <w:sz w:val="18"/>
                <w:lang w:val="nl-NL"/>
              </w:rPr>
            </w:pPr>
          </w:p>
        </w:tc>
        <w:tc>
          <w:tcPr>
            <w:tcW w:w="4819" w:type="dxa"/>
            <w:vMerge/>
          </w:tcPr>
          <w:p w14:paraId="334BC141" w14:textId="7A4E9A89" w:rsidR="000E292E" w:rsidRPr="00AC7F1B" w:rsidRDefault="000E292E" w:rsidP="009E30E4">
            <w:pPr>
              <w:spacing w:after="0" w:line="240" w:lineRule="auto"/>
              <w:jc w:val="center"/>
              <w:rPr>
                <w:b/>
                <w:lang w:val="nl-NL"/>
              </w:rPr>
            </w:pPr>
          </w:p>
        </w:tc>
      </w:tr>
    </w:tbl>
    <w:p w14:paraId="7DEB8C5F" w14:textId="77777777" w:rsidR="007B64CC" w:rsidRPr="00AC7F1B" w:rsidRDefault="007B64CC" w:rsidP="007B64CC">
      <w:pPr>
        <w:spacing w:after="0"/>
        <w:rPr>
          <w:lang w:val="nl-NL"/>
        </w:rPr>
      </w:pPr>
    </w:p>
    <w:sectPr w:rsidR="007B64CC" w:rsidRPr="00AC7F1B" w:rsidSect="000E292E">
      <w:headerReference w:type="even" r:id="rId7"/>
      <w:headerReference w:type="default" r:id="rId8"/>
      <w:pgSz w:w="11907" w:h="16840" w:code="9"/>
      <w:pgMar w:top="1134" w:right="1134" w:bottom="1134" w:left="1701" w:header="567"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CF1B7" w14:textId="77777777" w:rsidR="0083698E" w:rsidRDefault="0083698E">
      <w:pPr>
        <w:spacing w:after="0" w:line="240" w:lineRule="auto"/>
      </w:pPr>
      <w:r>
        <w:separator/>
      </w:r>
    </w:p>
  </w:endnote>
  <w:endnote w:type="continuationSeparator" w:id="0">
    <w:p w14:paraId="02B1A088" w14:textId="77777777" w:rsidR="0083698E" w:rsidRDefault="00836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7FA23" w14:textId="77777777" w:rsidR="0083698E" w:rsidRDefault="0083698E">
      <w:pPr>
        <w:spacing w:after="0" w:line="240" w:lineRule="auto"/>
      </w:pPr>
      <w:r>
        <w:separator/>
      </w:r>
    </w:p>
  </w:footnote>
  <w:footnote w:type="continuationSeparator" w:id="0">
    <w:p w14:paraId="2A31E339" w14:textId="77777777" w:rsidR="0083698E" w:rsidRDefault="00836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26DC2" w14:textId="77777777" w:rsidR="00C81BEC" w:rsidRDefault="00C81BEC">
    <w:pPr>
      <w:pStyle w:val="Header"/>
    </w:pPr>
  </w:p>
  <w:p w14:paraId="34696B3E" w14:textId="77777777" w:rsidR="00C81BEC" w:rsidRDefault="00C81B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A179E" w14:textId="28421138" w:rsidR="00C81BEC" w:rsidRDefault="00C81BEC" w:rsidP="000E292E">
    <w:pPr>
      <w:pStyle w:val="Header"/>
      <w:jc w:val="center"/>
    </w:pPr>
    <w:r>
      <w:fldChar w:fldCharType="begin"/>
    </w:r>
    <w:r>
      <w:instrText xml:space="preserve"> PAGE   \* MERGEFORMAT </w:instrText>
    </w:r>
    <w:r>
      <w:fldChar w:fldCharType="separate"/>
    </w:r>
    <w:r w:rsidR="00272469" w:rsidRPr="00272469">
      <w:rPr>
        <w:noProof/>
        <w:lang w:val="en-GB" w:eastAsia="en-GB"/>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5221"/>
    <w:multiLevelType w:val="hybridMultilevel"/>
    <w:tmpl w:val="9E94002A"/>
    <w:lvl w:ilvl="0" w:tplc="939E7D1A">
      <w:start w:val="1"/>
      <w:numFmt w:val="lowerLetter"/>
      <w:lvlText w:val="%1)"/>
      <w:lvlJc w:val="left"/>
      <w:pPr>
        <w:ind w:left="1070" w:hanging="360"/>
      </w:pPr>
      <w:rPr>
        <w:rFonts w:hint="default"/>
        <w:b w:val="0"/>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36A92ACF"/>
    <w:multiLevelType w:val="hybridMultilevel"/>
    <w:tmpl w:val="C2F4BA28"/>
    <w:lvl w:ilvl="0" w:tplc="5CE0697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7444164"/>
    <w:multiLevelType w:val="hybridMultilevel"/>
    <w:tmpl w:val="91AACABC"/>
    <w:lvl w:ilvl="0" w:tplc="DFDEF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D7681C"/>
    <w:multiLevelType w:val="hybridMultilevel"/>
    <w:tmpl w:val="2916A2DC"/>
    <w:lvl w:ilvl="0" w:tplc="3BBC234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799225869">
    <w:abstractNumId w:val="2"/>
  </w:num>
  <w:num w:numId="2" w16cid:durableId="1438020264">
    <w:abstractNumId w:val="3"/>
  </w:num>
  <w:num w:numId="3" w16cid:durableId="350225185">
    <w:abstractNumId w:val="1"/>
  </w:num>
  <w:num w:numId="4" w16cid:durableId="131099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4CC"/>
    <w:rsid w:val="00001DAE"/>
    <w:rsid w:val="0003371C"/>
    <w:rsid w:val="0004720A"/>
    <w:rsid w:val="000608D1"/>
    <w:rsid w:val="00060A88"/>
    <w:rsid w:val="00063D57"/>
    <w:rsid w:val="0008463B"/>
    <w:rsid w:val="00091271"/>
    <w:rsid w:val="000E292E"/>
    <w:rsid w:val="000F31FA"/>
    <w:rsid w:val="000F6A24"/>
    <w:rsid w:val="001058C6"/>
    <w:rsid w:val="00125EE8"/>
    <w:rsid w:val="00126164"/>
    <w:rsid w:val="00133CF5"/>
    <w:rsid w:val="00170483"/>
    <w:rsid w:val="001778DF"/>
    <w:rsid w:val="00180B64"/>
    <w:rsid w:val="00183B16"/>
    <w:rsid w:val="001C7432"/>
    <w:rsid w:val="0020665E"/>
    <w:rsid w:val="00211982"/>
    <w:rsid w:val="00216AA7"/>
    <w:rsid w:val="002621B2"/>
    <w:rsid w:val="00272469"/>
    <w:rsid w:val="00272FF6"/>
    <w:rsid w:val="002833C3"/>
    <w:rsid w:val="0028614B"/>
    <w:rsid w:val="002C422E"/>
    <w:rsid w:val="002C6026"/>
    <w:rsid w:val="002D24E4"/>
    <w:rsid w:val="002F0574"/>
    <w:rsid w:val="002F1C32"/>
    <w:rsid w:val="00301674"/>
    <w:rsid w:val="00315F3F"/>
    <w:rsid w:val="00321A25"/>
    <w:rsid w:val="00322E6A"/>
    <w:rsid w:val="0032688F"/>
    <w:rsid w:val="00347B6D"/>
    <w:rsid w:val="0035162E"/>
    <w:rsid w:val="00351D49"/>
    <w:rsid w:val="0036571A"/>
    <w:rsid w:val="003934E5"/>
    <w:rsid w:val="003A095D"/>
    <w:rsid w:val="003B07E3"/>
    <w:rsid w:val="003B560F"/>
    <w:rsid w:val="003C42A1"/>
    <w:rsid w:val="003D5FE3"/>
    <w:rsid w:val="0041179D"/>
    <w:rsid w:val="004149CF"/>
    <w:rsid w:val="004262D4"/>
    <w:rsid w:val="004662A0"/>
    <w:rsid w:val="004747E1"/>
    <w:rsid w:val="00486766"/>
    <w:rsid w:val="00487C37"/>
    <w:rsid w:val="00495CCF"/>
    <w:rsid w:val="004B340C"/>
    <w:rsid w:val="004B7E56"/>
    <w:rsid w:val="004C3D1C"/>
    <w:rsid w:val="004C683B"/>
    <w:rsid w:val="004D54CD"/>
    <w:rsid w:val="004F2D14"/>
    <w:rsid w:val="00525209"/>
    <w:rsid w:val="00555061"/>
    <w:rsid w:val="00567F89"/>
    <w:rsid w:val="005878CB"/>
    <w:rsid w:val="00592544"/>
    <w:rsid w:val="00592E77"/>
    <w:rsid w:val="005B5048"/>
    <w:rsid w:val="005D5268"/>
    <w:rsid w:val="005E004F"/>
    <w:rsid w:val="005E55D4"/>
    <w:rsid w:val="005F007C"/>
    <w:rsid w:val="005F3787"/>
    <w:rsid w:val="00604D14"/>
    <w:rsid w:val="00614926"/>
    <w:rsid w:val="00637E24"/>
    <w:rsid w:val="00652774"/>
    <w:rsid w:val="006530EE"/>
    <w:rsid w:val="006609D8"/>
    <w:rsid w:val="00662001"/>
    <w:rsid w:val="006B3D4C"/>
    <w:rsid w:val="006E1D58"/>
    <w:rsid w:val="006E615B"/>
    <w:rsid w:val="006E7D46"/>
    <w:rsid w:val="006F2E02"/>
    <w:rsid w:val="006F3740"/>
    <w:rsid w:val="006F3FA8"/>
    <w:rsid w:val="00705106"/>
    <w:rsid w:val="00714B87"/>
    <w:rsid w:val="0071640A"/>
    <w:rsid w:val="0072541C"/>
    <w:rsid w:val="007512B4"/>
    <w:rsid w:val="007524C4"/>
    <w:rsid w:val="007524DA"/>
    <w:rsid w:val="00785398"/>
    <w:rsid w:val="00785524"/>
    <w:rsid w:val="00791A5C"/>
    <w:rsid w:val="007B2A9C"/>
    <w:rsid w:val="007B3501"/>
    <w:rsid w:val="007B64CC"/>
    <w:rsid w:val="007B75D0"/>
    <w:rsid w:val="007C613E"/>
    <w:rsid w:val="007C67AE"/>
    <w:rsid w:val="007E59E8"/>
    <w:rsid w:val="007E5B18"/>
    <w:rsid w:val="007F0404"/>
    <w:rsid w:val="00816742"/>
    <w:rsid w:val="0082282F"/>
    <w:rsid w:val="008257ED"/>
    <w:rsid w:val="00832003"/>
    <w:rsid w:val="00834BA4"/>
    <w:rsid w:val="0083698E"/>
    <w:rsid w:val="00853F78"/>
    <w:rsid w:val="008558C4"/>
    <w:rsid w:val="00856EDD"/>
    <w:rsid w:val="00874728"/>
    <w:rsid w:val="00886338"/>
    <w:rsid w:val="008A0313"/>
    <w:rsid w:val="008A2A77"/>
    <w:rsid w:val="008B2506"/>
    <w:rsid w:val="008C720F"/>
    <w:rsid w:val="008E6325"/>
    <w:rsid w:val="0090364B"/>
    <w:rsid w:val="00920427"/>
    <w:rsid w:val="00941994"/>
    <w:rsid w:val="00942767"/>
    <w:rsid w:val="00950F79"/>
    <w:rsid w:val="009848DF"/>
    <w:rsid w:val="00986D2B"/>
    <w:rsid w:val="0099378A"/>
    <w:rsid w:val="009A603D"/>
    <w:rsid w:val="009B55B2"/>
    <w:rsid w:val="009B5E98"/>
    <w:rsid w:val="009C53B5"/>
    <w:rsid w:val="009D0717"/>
    <w:rsid w:val="009D1738"/>
    <w:rsid w:val="009D3671"/>
    <w:rsid w:val="009E30E4"/>
    <w:rsid w:val="00A00005"/>
    <w:rsid w:val="00A108B7"/>
    <w:rsid w:val="00A30DC2"/>
    <w:rsid w:val="00A5424D"/>
    <w:rsid w:val="00A6050C"/>
    <w:rsid w:val="00A64D5F"/>
    <w:rsid w:val="00A672BB"/>
    <w:rsid w:val="00A8192C"/>
    <w:rsid w:val="00AA2072"/>
    <w:rsid w:val="00AC7F1B"/>
    <w:rsid w:val="00AC7FCB"/>
    <w:rsid w:val="00AD5476"/>
    <w:rsid w:val="00AE648E"/>
    <w:rsid w:val="00B303D7"/>
    <w:rsid w:val="00B46FAC"/>
    <w:rsid w:val="00B65EE9"/>
    <w:rsid w:val="00B71D83"/>
    <w:rsid w:val="00B74A33"/>
    <w:rsid w:val="00B80DDD"/>
    <w:rsid w:val="00B820EC"/>
    <w:rsid w:val="00B972CF"/>
    <w:rsid w:val="00BA1516"/>
    <w:rsid w:val="00BB284C"/>
    <w:rsid w:val="00BB3209"/>
    <w:rsid w:val="00BD0170"/>
    <w:rsid w:val="00BD348E"/>
    <w:rsid w:val="00BF1DAB"/>
    <w:rsid w:val="00C101C4"/>
    <w:rsid w:val="00C17B08"/>
    <w:rsid w:val="00C418D5"/>
    <w:rsid w:val="00C423BA"/>
    <w:rsid w:val="00C4463B"/>
    <w:rsid w:val="00C449A9"/>
    <w:rsid w:val="00C47EAE"/>
    <w:rsid w:val="00C80A46"/>
    <w:rsid w:val="00C81BEC"/>
    <w:rsid w:val="00C82D31"/>
    <w:rsid w:val="00C93293"/>
    <w:rsid w:val="00C948FD"/>
    <w:rsid w:val="00C95798"/>
    <w:rsid w:val="00CA2DDA"/>
    <w:rsid w:val="00CD0331"/>
    <w:rsid w:val="00CD7B28"/>
    <w:rsid w:val="00CE1FF4"/>
    <w:rsid w:val="00CE5D40"/>
    <w:rsid w:val="00CE6098"/>
    <w:rsid w:val="00CE6AB6"/>
    <w:rsid w:val="00D04997"/>
    <w:rsid w:val="00D3702A"/>
    <w:rsid w:val="00D903BA"/>
    <w:rsid w:val="00D9411F"/>
    <w:rsid w:val="00D97120"/>
    <w:rsid w:val="00DA1FA6"/>
    <w:rsid w:val="00DB51D6"/>
    <w:rsid w:val="00DD1298"/>
    <w:rsid w:val="00DE4BCC"/>
    <w:rsid w:val="00DE6B62"/>
    <w:rsid w:val="00DF5A13"/>
    <w:rsid w:val="00E13BA2"/>
    <w:rsid w:val="00E20F87"/>
    <w:rsid w:val="00E305F7"/>
    <w:rsid w:val="00E418F7"/>
    <w:rsid w:val="00E64066"/>
    <w:rsid w:val="00E728CB"/>
    <w:rsid w:val="00E8251F"/>
    <w:rsid w:val="00ED14FA"/>
    <w:rsid w:val="00ED45F9"/>
    <w:rsid w:val="00F02B9E"/>
    <w:rsid w:val="00F1489A"/>
    <w:rsid w:val="00F1789F"/>
    <w:rsid w:val="00F22558"/>
    <w:rsid w:val="00F25327"/>
    <w:rsid w:val="00F316BC"/>
    <w:rsid w:val="00F6040F"/>
    <w:rsid w:val="00F766A1"/>
    <w:rsid w:val="00F85D6E"/>
    <w:rsid w:val="00F91212"/>
    <w:rsid w:val="00FB03C7"/>
    <w:rsid w:val="00FB07BB"/>
    <w:rsid w:val="00FD38EF"/>
    <w:rsid w:val="00FE7DFB"/>
    <w:rsid w:val="00FF75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20E8"/>
  <w15:docId w15:val="{C9221AE8-214F-42B7-B127-80FBD152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4CC"/>
    <w:pPr>
      <w:spacing w:after="200" w:line="276" w:lineRule="auto"/>
    </w:pPr>
    <w:rPr>
      <w:rFonts w:eastAsia="Calibri"/>
      <w:sz w:val="28"/>
      <w:szCs w:val="22"/>
      <w:lang w:val="en-US" w:eastAsia="en-US"/>
    </w:rPr>
  </w:style>
  <w:style w:type="paragraph" w:styleId="Heading1">
    <w:name w:val="heading 1"/>
    <w:basedOn w:val="Normal"/>
    <w:next w:val="Normal"/>
    <w:link w:val="Heading1Char"/>
    <w:qFormat/>
    <w:rsid w:val="007B64CC"/>
    <w:pPr>
      <w:keepNext/>
      <w:spacing w:after="0" w:line="240" w:lineRule="auto"/>
      <w:jc w:val="center"/>
      <w:outlineLvl w:val="0"/>
    </w:pPr>
    <w:rPr>
      <w:rFonts w:ascii=".VnTimeH" w:eastAsia="Times New Roman" w:hAnsi=".VnTimeH"/>
      <w:b/>
      <w:sz w:val="20"/>
      <w:szCs w:val="20"/>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64CC"/>
    <w:rPr>
      <w:rFonts w:ascii=".VnTimeH" w:eastAsia="Times New Roman" w:hAnsi=".VnTimeH" w:cs="Times New Roman"/>
      <w:b/>
      <w:sz w:val="20"/>
      <w:szCs w:val="20"/>
      <w:lang w:val="fi-FI"/>
    </w:rPr>
  </w:style>
  <w:style w:type="paragraph" w:styleId="BodyText3">
    <w:name w:val="Body Text 3"/>
    <w:basedOn w:val="Normal"/>
    <w:link w:val="BodyText3Char"/>
    <w:rsid w:val="007B64CC"/>
    <w:pPr>
      <w:spacing w:after="0" w:line="240" w:lineRule="auto"/>
      <w:jc w:val="center"/>
    </w:pPr>
    <w:rPr>
      <w:rFonts w:ascii=".VnTime" w:eastAsia="Times New Roman" w:hAnsi=".VnTime"/>
      <w:b/>
      <w:sz w:val="20"/>
      <w:szCs w:val="24"/>
    </w:rPr>
  </w:style>
  <w:style w:type="character" w:customStyle="1" w:styleId="BodyText3Char">
    <w:name w:val="Body Text 3 Char"/>
    <w:link w:val="BodyText3"/>
    <w:rsid w:val="007B64CC"/>
    <w:rPr>
      <w:rFonts w:ascii=".VnTime" w:eastAsia="Times New Roman" w:hAnsi=".VnTime" w:cs="Times New Roman"/>
      <w:b/>
      <w:sz w:val="20"/>
      <w:szCs w:val="24"/>
    </w:rPr>
  </w:style>
  <w:style w:type="paragraph" w:styleId="Header">
    <w:name w:val="header"/>
    <w:basedOn w:val="Normal"/>
    <w:link w:val="HeaderChar"/>
    <w:uiPriority w:val="99"/>
    <w:unhideWhenUsed/>
    <w:rsid w:val="007B64CC"/>
    <w:pPr>
      <w:tabs>
        <w:tab w:val="center" w:pos="4680"/>
        <w:tab w:val="right" w:pos="9360"/>
      </w:tabs>
      <w:spacing w:after="0" w:line="240" w:lineRule="auto"/>
    </w:pPr>
  </w:style>
  <w:style w:type="character" w:customStyle="1" w:styleId="HeaderChar">
    <w:name w:val="Header Char"/>
    <w:link w:val="Header"/>
    <w:uiPriority w:val="99"/>
    <w:rsid w:val="007B64CC"/>
    <w:rPr>
      <w:rFonts w:eastAsia="Calibri" w:cs="Times New Roman"/>
      <w:lang w:val="en-US"/>
    </w:rPr>
  </w:style>
  <w:style w:type="character" w:customStyle="1" w:styleId="fontstyle01">
    <w:name w:val="fontstyle01"/>
    <w:rsid w:val="007B64CC"/>
    <w:rPr>
      <w:rFonts w:ascii="Times New Roman" w:hAnsi="Times New Roman" w:hint="default"/>
      <w:b w:val="0"/>
      <w:bCs w:val="0"/>
      <w:i w:val="0"/>
      <w:iCs w:val="0"/>
      <w:color w:val="000000"/>
      <w:sz w:val="28"/>
      <w:szCs w:val="28"/>
    </w:rPr>
  </w:style>
  <w:style w:type="paragraph" w:customStyle="1" w:styleId="nidungVB">
    <w:name w:val="nội dung VB"/>
    <w:basedOn w:val="Normal"/>
    <w:uiPriority w:val="99"/>
    <w:rsid w:val="007B64CC"/>
    <w:pPr>
      <w:widowControl w:val="0"/>
      <w:spacing w:after="120" w:line="400" w:lineRule="atLeast"/>
      <w:ind w:firstLine="567"/>
      <w:jc w:val="both"/>
    </w:pPr>
    <w:rPr>
      <w:szCs w:val="28"/>
    </w:rPr>
  </w:style>
  <w:style w:type="character" w:styleId="Hyperlink">
    <w:name w:val="Hyperlink"/>
    <w:rsid w:val="003934E5"/>
    <w:rPr>
      <w:rFonts w:ascii="Arial" w:hAnsi="Arial" w:cs="Arial"/>
      <w:color w:val="0000FF"/>
      <w:sz w:val="26"/>
      <w:szCs w:val="26"/>
      <w:u w:val="single"/>
      <w:lang w:val="en-US" w:eastAsia="en-US" w:bidi="ar-SA"/>
    </w:rPr>
  </w:style>
  <w:style w:type="paragraph" w:styleId="BodyText">
    <w:name w:val="Body Text"/>
    <w:basedOn w:val="Normal"/>
    <w:link w:val="BodyTextChar"/>
    <w:unhideWhenUsed/>
    <w:rsid w:val="00637E24"/>
    <w:pPr>
      <w:spacing w:after="120"/>
    </w:pPr>
  </w:style>
  <w:style w:type="character" w:customStyle="1" w:styleId="BodyTextChar">
    <w:name w:val="Body Text Char"/>
    <w:link w:val="BodyText"/>
    <w:rsid w:val="00637E24"/>
    <w:rPr>
      <w:rFonts w:eastAsia="Calibri"/>
      <w:sz w:val="28"/>
      <w:szCs w:val="22"/>
      <w:lang w:val="en-US" w:eastAsia="en-US"/>
    </w:rPr>
  </w:style>
  <w:style w:type="paragraph" w:styleId="NormalWeb">
    <w:name w:val="Normal (Web)"/>
    <w:aliases w:val="Normal (Web) Char,Char Char Char1,Обычный (веб)1,Обычный (веб) Знак,Обычный (веб) Знак1,Обычный (веб) Знак Знак,Char Char Char,Char Char Char Char Char Char Char Char Char Char Char,Char Char25,Char Char Cha"/>
    <w:basedOn w:val="Normal"/>
    <w:link w:val="NormalWebChar1"/>
    <w:uiPriority w:val="99"/>
    <w:unhideWhenUsed/>
    <w:qFormat/>
    <w:rsid w:val="00637E24"/>
    <w:pPr>
      <w:spacing w:before="100" w:beforeAutospacing="1" w:after="100" w:afterAutospacing="1" w:line="240" w:lineRule="auto"/>
    </w:pPr>
    <w:rPr>
      <w:rFonts w:eastAsia="Times New Roman"/>
      <w:sz w:val="24"/>
      <w:szCs w:val="24"/>
    </w:rPr>
  </w:style>
  <w:style w:type="character" w:styleId="Strong">
    <w:name w:val="Strong"/>
    <w:uiPriority w:val="22"/>
    <w:qFormat/>
    <w:rsid w:val="00E64066"/>
    <w:rPr>
      <w:b/>
      <w:bCs/>
    </w:rPr>
  </w:style>
  <w:style w:type="character" w:customStyle="1" w:styleId="NormalWebChar1">
    <w:name w:val="Normal (Web) Char1"/>
    <w:aliases w:val="Normal (Web) Char Char,Char Char Char1 Char,Обычный (веб)1 Char1,Обычный (веб) Знак Char1,Обычный (веб) Знак1 Char1,Обычный (веб) Знак Знак Char1,Char Char Char Char2,Char Char Char Char Char Char Char Char Char Char Char Char1"/>
    <w:link w:val="NormalWeb"/>
    <w:uiPriority w:val="99"/>
    <w:qFormat/>
    <w:locked/>
    <w:rsid w:val="00E64066"/>
    <w:rPr>
      <w:rFonts w:eastAsia="Times New Roman"/>
      <w:sz w:val="24"/>
      <w:szCs w:val="24"/>
    </w:rPr>
  </w:style>
  <w:style w:type="character" w:styleId="Emphasis">
    <w:name w:val="Emphasis"/>
    <w:uiPriority w:val="20"/>
    <w:qFormat/>
    <w:rsid w:val="008257ED"/>
    <w:rPr>
      <w:i/>
      <w:iCs/>
    </w:rPr>
  </w:style>
  <w:style w:type="table" w:styleId="TableGrid">
    <w:name w:val="Table Grid"/>
    <w:basedOn w:val="TableNormal"/>
    <w:uiPriority w:val="59"/>
    <w:rsid w:val="007F0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91271"/>
    <w:rPr>
      <w:rFonts w:eastAsia="Calibri"/>
      <w:sz w:val="28"/>
      <w:szCs w:val="22"/>
      <w:lang w:val="en-US" w:eastAsia="en-US"/>
    </w:rPr>
  </w:style>
  <w:style w:type="paragraph" w:customStyle="1" w:styleId="5">
    <w:name w:val="5"/>
    <w:basedOn w:val="Normal"/>
    <w:qFormat/>
    <w:rsid w:val="0041179D"/>
    <w:pPr>
      <w:spacing w:before="120" w:after="120" w:line="240" w:lineRule="auto"/>
      <w:jc w:val="both"/>
    </w:pPr>
    <w:rPr>
      <w:rFonts w:eastAsia="Times New Roman"/>
      <w:bCs/>
      <w:i/>
      <w:color w:val="000000"/>
      <w:szCs w:val="28"/>
    </w:rPr>
  </w:style>
  <w:style w:type="character" w:customStyle="1" w:styleId="apple-converted-space">
    <w:name w:val="apple-converted-space"/>
    <w:basedOn w:val="DefaultParagraphFont"/>
    <w:rsid w:val="00555061"/>
  </w:style>
  <w:style w:type="paragraph" w:styleId="FootnoteText">
    <w:name w:val="footnote text"/>
    <w:basedOn w:val="Normal"/>
    <w:link w:val="FootnoteTextChar"/>
    <w:semiHidden/>
    <w:unhideWhenUsed/>
    <w:rsid w:val="00126164"/>
    <w:pPr>
      <w:spacing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126164"/>
    <w:rPr>
      <w:rFonts w:eastAsia="Times New Roman"/>
      <w:lang w:val="en-US" w:eastAsia="en-US"/>
    </w:rPr>
  </w:style>
  <w:style w:type="character" w:styleId="FootnoteReference">
    <w:name w:val="footnote reference"/>
    <w:basedOn w:val="DefaultParagraphFont"/>
    <w:semiHidden/>
    <w:unhideWhenUsed/>
    <w:rsid w:val="00126164"/>
    <w:rPr>
      <w:vertAlign w:val="superscript"/>
    </w:rPr>
  </w:style>
  <w:style w:type="paragraph" w:styleId="ListParagraph">
    <w:name w:val="List Paragraph"/>
    <w:aliases w:val="List Paragraph 1,List A,Title1,lp1,Bullet List,FooterText,numbered,Paragraphe de liste,Use Case List Paragraph,Body Bullet,Colorful List - Accent 11,Bulleted Text,List bullet,List Bullet1,Figure_name,d_bodyb,B1,bu1"/>
    <w:basedOn w:val="Normal"/>
    <w:uiPriority w:val="34"/>
    <w:qFormat/>
    <w:rsid w:val="00614926"/>
    <w:pPr>
      <w:ind w:left="720"/>
      <w:contextualSpacing/>
    </w:pPr>
  </w:style>
  <w:style w:type="character" w:customStyle="1" w:styleId="Bodytext0">
    <w:name w:val="Body text_"/>
    <w:link w:val="Bodytext1"/>
    <w:locked/>
    <w:rsid w:val="00614926"/>
    <w:rPr>
      <w:sz w:val="29"/>
      <w:szCs w:val="29"/>
      <w:shd w:val="clear" w:color="auto" w:fill="FFFFFF"/>
    </w:rPr>
  </w:style>
  <w:style w:type="paragraph" w:customStyle="1" w:styleId="Bodytext1">
    <w:name w:val="Body text1"/>
    <w:basedOn w:val="Normal"/>
    <w:link w:val="Bodytext0"/>
    <w:rsid w:val="00614926"/>
    <w:pPr>
      <w:widowControl w:val="0"/>
      <w:shd w:val="clear" w:color="auto" w:fill="FFFFFF"/>
      <w:spacing w:after="0" w:line="240" w:lineRule="atLeast"/>
      <w:jc w:val="both"/>
    </w:pPr>
    <w:rPr>
      <w:rFonts w:eastAsia="Arial"/>
      <w:sz w:val="29"/>
      <w:szCs w:val="29"/>
      <w:lang w:val="en-GB" w:eastAsia="en-GB"/>
    </w:rPr>
  </w:style>
  <w:style w:type="character" w:customStyle="1" w:styleId="1Char">
    <w:name w:val="Обычный (веб)1 Char"/>
    <w:aliases w:val="Обычный (веб) Знак Char,Обычный (веб) Знак1 Char,Обычный (веб) Знак Знак Char,Char Char Char Char,Char Char Char Char Char Char Char Char Char Char Char Char,Normal (Web) Char Char Char,Char Char Char Char1"/>
    <w:uiPriority w:val="99"/>
    <w:qFormat/>
    <w:locked/>
    <w:rsid w:val="00785524"/>
    <w:rPr>
      <w:sz w:val="24"/>
      <w:szCs w:val="24"/>
      <w:lang w:val="vi-VN"/>
    </w:rPr>
  </w:style>
  <w:style w:type="paragraph" w:styleId="Footer">
    <w:name w:val="footer"/>
    <w:basedOn w:val="Normal"/>
    <w:link w:val="FooterChar"/>
    <w:uiPriority w:val="99"/>
    <w:unhideWhenUsed/>
    <w:rsid w:val="000E2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92E"/>
    <w:rPr>
      <w:rFonts w:eastAsia="Calibri"/>
      <w:sz w:val="28"/>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6217">
      <w:bodyDiv w:val="1"/>
      <w:marLeft w:val="0"/>
      <w:marRight w:val="0"/>
      <w:marTop w:val="0"/>
      <w:marBottom w:val="0"/>
      <w:divBdr>
        <w:top w:val="none" w:sz="0" w:space="0" w:color="auto"/>
        <w:left w:val="none" w:sz="0" w:space="0" w:color="auto"/>
        <w:bottom w:val="none" w:sz="0" w:space="0" w:color="auto"/>
        <w:right w:val="none" w:sz="0" w:space="0" w:color="auto"/>
      </w:divBdr>
    </w:div>
    <w:div w:id="180437366">
      <w:bodyDiv w:val="1"/>
      <w:marLeft w:val="0"/>
      <w:marRight w:val="0"/>
      <w:marTop w:val="0"/>
      <w:marBottom w:val="0"/>
      <w:divBdr>
        <w:top w:val="none" w:sz="0" w:space="0" w:color="auto"/>
        <w:left w:val="none" w:sz="0" w:space="0" w:color="auto"/>
        <w:bottom w:val="none" w:sz="0" w:space="0" w:color="auto"/>
        <w:right w:val="none" w:sz="0" w:space="0" w:color="auto"/>
      </w:divBdr>
    </w:div>
    <w:div w:id="616638925">
      <w:bodyDiv w:val="1"/>
      <w:marLeft w:val="0"/>
      <w:marRight w:val="0"/>
      <w:marTop w:val="0"/>
      <w:marBottom w:val="0"/>
      <w:divBdr>
        <w:top w:val="none" w:sz="0" w:space="0" w:color="auto"/>
        <w:left w:val="none" w:sz="0" w:space="0" w:color="auto"/>
        <w:bottom w:val="none" w:sz="0" w:space="0" w:color="auto"/>
        <w:right w:val="none" w:sz="0" w:space="0" w:color="auto"/>
      </w:divBdr>
    </w:div>
    <w:div w:id="874122226">
      <w:bodyDiv w:val="1"/>
      <w:marLeft w:val="0"/>
      <w:marRight w:val="0"/>
      <w:marTop w:val="0"/>
      <w:marBottom w:val="0"/>
      <w:divBdr>
        <w:top w:val="none" w:sz="0" w:space="0" w:color="auto"/>
        <w:left w:val="none" w:sz="0" w:space="0" w:color="auto"/>
        <w:bottom w:val="none" w:sz="0" w:space="0" w:color="auto"/>
        <w:right w:val="none" w:sz="0" w:space="0" w:color="auto"/>
      </w:divBdr>
    </w:div>
    <w:div w:id="1211957624">
      <w:bodyDiv w:val="1"/>
      <w:marLeft w:val="0"/>
      <w:marRight w:val="0"/>
      <w:marTop w:val="0"/>
      <w:marBottom w:val="0"/>
      <w:divBdr>
        <w:top w:val="none" w:sz="0" w:space="0" w:color="auto"/>
        <w:left w:val="none" w:sz="0" w:space="0" w:color="auto"/>
        <w:bottom w:val="none" w:sz="0" w:space="0" w:color="auto"/>
        <w:right w:val="none" w:sz="0" w:space="0" w:color="auto"/>
      </w:divBdr>
    </w:div>
    <w:div w:id="16951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BAN QUYEN 21AK22.COM</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Le Huynh Thanh Thao</cp:lastModifiedBy>
  <cp:revision>102</cp:revision>
  <cp:lastPrinted>2025-06-21T02:45:00Z</cp:lastPrinted>
  <dcterms:created xsi:type="dcterms:W3CDTF">2025-10-16T04:14:00Z</dcterms:created>
  <dcterms:modified xsi:type="dcterms:W3CDTF">2025-10-16T07:41:00Z</dcterms:modified>
</cp:coreProperties>
</file>